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1E0D9" w14:textId="77777777" w:rsidR="009A223A" w:rsidRDefault="009A223A" w:rsidP="000E4487">
      <w:pPr>
        <w:spacing w:after="0" w:line="360" w:lineRule="auto"/>
        <w:jc w:val="center"/>
        <w:rPr>
          <w:rFonts w:ascii="Arial" w:hAnsi="Arial" w:cs="Arial"/>
          <w:b/>
          <w:bCs/>
        </w:rPr>
      </w:pPr>
    </w:p>
    <w:p w14:paraId="4D8A3B01" w14:textId="113325B0" w:rsidR="009A223A" w:rsidRPr="00B34E99" w:rsidRDefault="009A223A" w:rsidP="000E4487">
      <w:pPr>
        <w:spacing w:after="0" w:line="360" w:lineRule="auto"/>
        <w:jc w:val="center"/>
        <w:rPr>
          <w:rFonts w:ascii="Arial" w:hAnsi="Arial" w:cs="Arial"/>
          <w:b/>
          <w:bCs/>
        </w:rPr>
      </w:pPr>
      <w:r w:rsidRPr="00B34E99">
        <w:rPr>
          <w:rFonts w:ascii="Arial" w:hAnsi="Arial" w:cs="Arial"/>
          <w:b/>
          <w:bCs/>
        </w:rPr>
        <w:t xml:space="preserve">PROCEDURA ZGŁOSZEŃ </w:t>
      </w:r>
      <w:r w:rsidR="00E830A1" w:rsidRPr="0059338A">
        <w:rPr>
          <w:rFonts w:ascii="Arial" w:hAnsi="Arial" w:cs="Arial"/>
          <w:b/>
          <w:bCs/>
        </w:rPr>
        <w:t>ZEWNĘTRZNYCH</w:t>
      </w:r>
      <w:r w:rsidR="00E830A1" w:rsidRPr="00B34E99">
        <w:rPr>
          <w:rFonts w:ascii="Arial" w:hAnsi="Arial" w:cs="Arial"/>
          <w:b/>
          <w:bCs/>
        </w:rPr>
        <w:t xml:space="preserve"> </w:t>
      </w:r>
    </w:p>
    <w:p w14:paraId="4B067DE3" w14:textId="77777777" w:rsidR="009A223A" w:rsidRPr="00B34E99" w:rsidRDefault="009A223A" w:rsidP="000E4487">
      <w:pPr>
        <w:spacing w:after="0" w:line="360" w:lineRule="auto"/>
        <w:jc w:val="center"/>
        <w:rPr>
          <w:rFonts w:ascii="Arial" w:hAnsi="Arial" w:cs="Arial"/>
          <w:b/>
          <w:bCs/>
          <w:color w:val="4472C4" w:themeColor="accent1"/>
        </w:rPr>
      </w:pPr>
    </w:p>
    <w:p w14:paraId="56B18ECD" w14:textId="77777777" w:rsidR="00BB4F44" w:rsidRDefault="00BB4F44" w:rsidP="000E4487">
      <w:pPr>
        <w:spacing w:after="0" w:line="360" w:lineRule="auto"/>
        <w:jc w:val="center"/>
        <w:rPr>
          <w:rFonts w:ascii="Arial" w:hAnsi="Arial" w:cs="Arial"/>
          <w:b/>
          <w:bCs/>
          <w:color w:val="4472C4" w:themeColor="accent1"/>
        </w:rPr>
      </w:pPr>
      <w:r>
        <w:rPr>
          <w:rFonts w:ascii="Arial" w:hAnsi="Arial" w:cs="Arial"/>
          <w:b/>
          <w:bCs/>
          <w:color w:val="4472C4" w:themeColor="accent1"/>
        </w:rPr>
        <w:t>Definicje</w:t>
      </w:r>
    </w:p>
    <w:p w14:paraId="74C03D97" w14:textId="7D5CCBFF" w:rsidR="00BB4F44" w:rsidRPr="00AD24EC" w:rsidRDefault="00BB4F44" w:rsidP="000E4487">
      <w:pPr>
        <w:spacing w:after="0" w:line="360" w:lineRule="auto"/>
        <w:jc w:val="center"/>
        <w:rPr>
          <w:rFonts w:ascii="Arial" w:hAnsi="Arial" w:cs="Arial"/>
          <w:b/>
          <w:bCs/>
          <w:color w:val="4472C4" w:themeColor="accent1"/>
        </w:rPr>
      </w:pPr>
      <w:r w:rsidRPr="00AD24EC">
        <w:rPr>
          <w:rFonts w:ascii="Arial" w:hAnsi="Arial" w:cs="Arial"/>
          <w:b/>
          <w:bCs/>
          <w:color w:val="4472C4" w:themeColor="accent1"/>
        </w:rPr>
        <w:t>§ 1</w:t>
      </w:r>
    </w:p>
    <w:p w14:paraId="0E07B202" w14:textId="77777777" w:rsidR="00BB4F44" w:rsidRPr="00DC6D30" w:rsidRDefault="00BB4F44" w:rsidP="000E4487">
      <w:pPr>
        <w:pStyle w:val="Akapitzlist"/>
        <w:numPr>
          <w:ilvl w:val="0"/>
          <w:numId w:val="21"/>
        </w:numPr>
        <w:spacing w:after="0" w:line="360" w:lineRule="auto"/>
        <w:ind w:left="284" w:hanging="284"/>
        <w:contextualSpacing w:val="0"/>
        <w:jc w:val="both"/>
        <w:rPr>
          <w:rFonts w:ascii="Arial" w:hAnsi="Arial" w:cs="Arial"/>
          <w:b/>
          <w:bCs/>
          <w:color w:val="4472C4" w:themeColor="accent1"/>
        </w:rPr>
      </w:pPr>
      <w:r w:rsidRPr="00DC6D30">
        <w:rPr>
          <w:rFonts w:ascii="Arial" w:hAnsi="Arial" w:cs="Arial"/>
          <w:b/>
          <w:bCs/>
        </w:rPr>
        <w:t xml:space="preserve">Sygnalista </w:t>
      </w:r>
      <w:r w:rsidRPr="00DC6D30">
        <w:rPr>
          <w:rFonts w:ascii="Arial" w:hAnsi="Arial" w:cs="Arial"/>
        </w:rPr>
        <w:t>– osoba, która zgłasza lub ujawnia publicznie informację o naruszeniu prawa uzyskaną w kontekście związanym z pracą, w tym m.in. pracownik, osoba świadcząca pracę na innej podstawie niż stosunek pracy, w tym na podstawie umowy cywilnoprawnej, stażysta, wolontariusz, praktykant, osoba świadcząca pracę pod nadzorem i kierownictwem wykonawcy, podwykonawcy lub dostawcy, przedsiębiorca.</w:t>
      </w:r>
    </w:p>
    <w:p w14:paraId="4C883BE1" w14:textId="77777777" w:rsidR="00BB4F44" w:rsidRPr="00BB4F44" w:rsidRDefault="00BB4F44" w:rsidP="000E4487">
      <w:pPr>
        <w:pStyle w:val="Akapitzlist"/>
        <w:numPr>
          <w:ilvl w:val="0"/>
          <w:numId w:val="21"/>
        </w:numPr>
        <w:spacing w:after="0" w:line="360" w:lineRule="auto"/>
        <w:ind w:left="284" w:hanging="284"/>
        <w:contextualSpacing w:val="0"/>
        <w:jc w:val="both"/>
        <w:rPr>
          <w:rFonts w:ascii="Arial" w:hAnsi="Arial" w:cs="Arial"/>
          <w:b/>
          <w:bCs/>
          <w:color w:val="4472C4" w:themeColor="accent1"/>
        </w:rPr>
      </w:pPr>
      <w:r>
        <w:rPr>
          <w:rFonts w:ascii="Arial" w:hAnsi="Arial" w:cs="Arial"/>
          <w:b/>
          <w:bCs/>
        </w:rPr>
        <w:t xml:space="preserve">Organ </w:t>
      </w:r>
      <w:r w:rsidRPr="00DC6D30">
        <w:rPr>
          <w:rFonts w:ascii="Arial" w:hAnsi="Arial" w:cs="Arial"/>
          <w:b/>
          <w:bCs/>
        </w:rPr>
        <w:t xml:space="preserve">publiczny </w:t>
      </w:r>
      <w:r w:rsidRPr="00DC6D30">
        <w:rPr>
          <w:rFonts w:ascii="Arial" w:hAnsi="Arial" w:cs="Arial"/>
        </w:rPr>
        <w:t>– naczelne  i centralne</w:t>
      </w:r>
      <w:r w:rsidRPr="00DC6D30">
        <w:rPr>
          <w:rFonts w:ascii="Arial" w:hAnsi="Arial" w:cs="Arial"/>
          <w:b/>
          <w:bCs/>
        </w:rPr>
        <w:t xml:space="preserve"> </w:t>
      </w:r>
      <w:r w:rsidRPr="00DC6D30">
        <w:rPr>
          <w:rFonts w:ascii="Arial" w:hAnsi="Arial" w:cs="Arial"/>
        </w:rPr>
        <w:t>organy administracji rządowej, terenowe organy administracji rządowej, organy jednostek samorządu terytorialnego, inne organy państwowe oraz inne podmioty wykonujące z mocy prawa zadania z zakresu administracji publicznej, właściwe do podejmowania działań następczych</w:t>
      </w:r>
      <w:r>
        <w:rPr>
          <w:rFonts w:ascii="Arial" w:hAnsi="Arial" w:cs="Arial"/>
        </w:rPr>
        <w:t>.</w:t>
      </w:r>
    </w:p>
    <w:p w14:paraId="6B047DBC" w14:textId="4C0C4517" w:rsidR="00BB4F44" w:rsidRPr="00BB4F44" w:rsidRDefault="00BB4F44" w:rsidP="000E4487">
      <w:pPr>
        <w:pStyle w:val="Akapitzlist"/>
        <w:numPr>
          <w:ilvl w:val="0"/>
          <w:numId w:val="21"/>
        </w:numPr>
        <w:spacing w:after="0" w:line="360" w:lineRule="auto"/>
        <w:ind w:left="284" w:hanging="284"/>
        <w:contextualSpacing w:val="0"/>
        <w:jc w:val="both"/>
        <w:rPr>
          <w:rFonts w:ascii="Arial" w:hAnsi="Arial" w:cs="Arial"/>
          <w:b/>
          <w:bCs/>
          <w:color w:val="4472C4" w:themeColor="accent1"/>
        </w:rPr>
      </w:pPr>
      <w:r w:rsidRPr="00BB4F44">
        <w:rPr>
          <w:rFonts w:ascii="Arial" w:hAnsi="Arial" w:cs="Arial"/>
          <w:b/>
          <w:bCs/>
        </w:rPr>
        <w:t xml:space="preserve">Osoby ds. zgłoszeń </w:t>
      </w:r>
      <w:r w:rsidRPr="00BB4F44">
        <w:rPr>
          <w:rFonts w:ascii="Arial" w:hAnsi="Arial" w:cs="Arial"/>
        </w:rPr>
        <w:t xml:space="preserve">- osoby upoważnione do przyjmowania zgłoszeń </w:t>
      </w:r>
      <w:r w:rsidR="00BB309E">
        <w:rPr>
          <w:rFonts w:ascii="Arial" w:hAnsi="Arial" w:cs="Arial"/>
        </w:rPr>
        <w:t>z</w:t>
      </w:r>
      <w:r w:rsidRPr="00BB4F44">
        <w:rPr>
          <w:rFonts w:ascii="Arial" w:hAnsi="Arial" w:cs="Arial"/>
        </w:rPr>
        <w:t xml:space="preserve">ewnętrznych. </w:t>
      </w:r>
    </w:p>
    <w:p w14:paraId="5D3412DB" w14:textId="1900CE2D" w:rsidR="00BB4F44" w:rsidRPr="00BB4F44" w:rsidRDefault="00BB4F44" w:rsidP="000E4487">
      <w:pPr>
        <w:pStyle w:val="Akapitzlist"/>
        <w:numPr>
          <w:ilvl w:val="0"/>
          <w:numId w:val="21"/>
        </w:numPr>
        <w:spacing w:after="0" w:line="360" w:lineRule="auto"/>
        <w:ind w:left="284" w:hanging="284"/>
        <w:contextualSpacing w:val="0"/>
        <w:jc w:val="both"/>
        <w:rPr>
          <w:rFonts w:ascii="Arial" w:hAnsi="Arial" w:cs="Arial"/>
          <w:b/>
          <w:bCs/>
          <w:color w:val="4472C4" w:themeColor="accent1"/>
        </w:rPr>
      </w:pPr>
      <w:r w:rsidRPr="00BB4F44">
        <w:rPr>
          <w:rFonts w:ascii="Arial" w:hAnsi="Arial" w:cs="Arial"/>
          <w:b/>
          <w:bCs/>
        </w:rPr>
        <w:t xml:space="preserve">Zespół </w:t>
      </w:r>
      <w:r w:rsidRPr="00BB4F44">
        <w:rPr>
          <w:rFonts w:ascii="Arial" w:hAnsi="Arial" w:cs="Arial"/>
        </w:rPr>
        <w:t xml:space="preserve">- Zespół ds. rozpatrywania zgłoszeń </w:t>
      </w:r>
      <w:r w:rsidR="00BB309E">
        <w:rPr>
          <w:rFonts w:ascii="Arial" w:hAnsi="Arial" w:cs="Arial"/>
        </w:rPr>
        <w:t>z</w:t>
      </w:r>
      <w:r w:rsidRPr="00BB4F44">
        <w:rPr>
          <w:rFonts w:ascii="Arial" w:hAnsi="Arial" w:cs="Arial"/>
        </w:rPr>
        <w:t xml:space="preserve">ewnętrznych, odpowiedzialny za prowadzenie działań następczych.  </w:t>
      </w:r>
    </w:p>
    <w:p w14:paraId="3E1D28A1" w14:textId="77777777" w:rsidR="000E4487" w:rsidRDefault="000E4487" w:rsidP="000E4487">
      <w:pPr>
        <w:spacing w:after="0" w:line="360" w:lineRule="auto"/>
        <w:jc w:val="center"/>
        <w:rPr>
          <w:rFonts w:ascii="Arial" w:hAnsi="Arial" w:cs="Arial"/>
          <w:b/>
          <w:bCs/>
          <w:color w:val="4472C4" w:themeColor="accent1"/>
        </w:rPr>
      </w:pPr>
    </w:p>
    <w:p w14:paraId="22BC5224" w14:textId="49BEF72C" w:rsidR="00E830A1" w:rsidRPr="00E830A1" w:rsidRDefault="00E830A1" w:rsidP="000E4487">
      <w:pPr>
        <w:spacing w:after="0" w:line="360" w:lineRule="auto"/>
        <w:jc w:val="center"/>
        <w:rPr>
          <w:rFonts w:ascii="Arial" w:hAnsi="Arial" w:cs="Arial"/>
          <w:b/>
          <w:bCs/>
          <w:color w:val="4472C4" w:themeColor="accent1"/>
        </w:rPr>
      </w:pPr>
      <w:r w:rsidRPr="00E830A1">
        <w:rPr>
          <w:rFonts w:ascii="Arial" w:hAnsi="Arial" w:cs="Arial"/>
          <w:b/>
          <w:bCs/>
          <w:color w:val="4472C4" w:themeColor="accent1"/>
        </w:rPr>
        <w:t>Informacje ogólne</w:t>
      </w:r>
    </w:p>
    <w:p w14:paraId="67B05345" w14:textId="7A18FB33" w:rsidR="009A223A" w:rsidRPr="00AD24EC" w:rsidRDefault="009A223A" w:rsidP="000E4487">
      <w:pPr>
        <w:spacing w:after="0" w:line="360" w:lineRule="auto"/>
        <w:jc w:val="center"/>
        <w:rPr>
          <w:rFonts w:ascii="Arial" w:hAnsi="Arial" w:cs="Arial"/>
          <w:b/>
          <w:bCs/>
          <w:color w:val="4472C4" w:themeColor="accent1"/>
        </w:rPr>
      </w:pPr>
      <w:r w:rsidRPr="00AD24EC">
        <w:rPr>
          <w:rFonts w:ascii="Arial" w:hAnsi="Arial" w:cs="Arial"/>
          <w:b/>
          <w:bCs/>
          <w:color w:val="4472C4" w:themeColor="accent1"/>
        </w:rPr>
        <w:t xml:space="preserve">§ </w:t>
      </w:r>
      <w:r w:rsidR="00BB4F44" w:rsidRPr="00AD24EC">
        <w:rPr>
          <w:rFonts w:ascii="Arial" w:hAnsi="Arial" w:cs="Arial"/>
          <w:b/>
          <w:bCs/>
          <w:color w:val="4472C4" w:themeColor="accent1"/>
        </w:rPr>
        <w:t>2</w:t>
      </w:r>
    </w:p>
    <w:p w14:paraId="37EAAB47" w14:textId="77777777" w:rsidR="00E830A1" w:rsidRDefault="009A223A" w:rsidP="000E4487">
      <w:pPr>
        <w:pStyle w:val="Akapitzlist"/>
        <w:numPr>
          <w:ilvl w:val="0"/>
          <w:numId w:val="1"/>
        </w:numPr>
        <w:spacing w:after="0" w:line="360" w:lineRule="auto"/>
        <w:ind w:left="284" w:hanging="284"/>
        <w:contextualSpacing w:val="0"/>
        <w:jc w:val="both"/>
        <w:rPr>
          <w:rFonts w:ascii="Arial" w:hAnsi="Arial" w:cs="Arial"/>
        </w:rPr>
      </w:pPr>
      <w:r w:rsidRPr="00DE6220">
        <w:rPr>
          <w:rFonts w:ascii="Arial" w:hAnsi="Arial" w:cs="Arial"/>
        </w:rPr>
        <w:t xml:space="preserve">Zgłoszenie zewnętrzne może zostać dokonane z pominięciem zgłoszenia wewnętrznego, o którym mowa w „Wewnętrznej procedurze dokonywania zgłoszeń naruszeń prawa </w:t>
      </w:r>
      <w:r>
        <w:rPr>
          <w:rFonts w:ascii="Arial" w:hAnsi="Arial" w:cs="Arial"/>
        </w:rPr>
        <w:br/>
      </w:r>
      <w:r w:rsidRPr="00DE6220">
        <w:rPr>
          <w:rFonts w:ascii="Arial" w:hAnsi="Arial" w:cs="Arial"/>
        </w:rPr>
        <w:t>i  podejmowania działań następczych w Powiatowym Centrum Pomocy Rodzinie w Bielsku-Białej”.</w:t>
      </w:r>
    </w:p>
    <w:p w14:paraId="6AF7E879" w14:textId="54B17BE4" w:rsidR="009A223A" w:rsidRPr="00E830A1" w:rsidRDefault="009A223A" w:rsidP="000E4487">
      <w:pPr>
        <w:pStyle w:val="Akapitzlist"/>
        <w:numPr>
          <w:ilvl w:val="0"/>
          <w:numId w:val="1"/>
        </w:numPr>
        <w:spacing w:after="0" w:line="360" w:lineRule="auto"/>
        <w:ind w:left="284" w:hanging="284"/>
        <w:contextualSpacing w:val="0"/>
        <w:jc w:val="both"/>
        <w:rPr>
          <w:rFonts w:ascii="Arial" w:hAnsi="Arial" w:cs="Arial"/>
        </w:rPr>
      </w:pPr>
      <w:r w:rsidRPr="00E830A1">
        <w:rPr>
          <w:rFonts w:ascii="Arial" w:hAnsi="Arial" w:cs="Arial"/>
        </w:rPr>
        <w:t>Zgłoszenia zewnętrznego można dokonać Rzecznikowi Praw Obywatelskich lub organowi publicznemu, a w stosownych przypadkach - do instytucji, organów lub jednostek organizacyjnych Unii Europejskiej.</w:t>
      </w:r>
    </w:p>
    <w:p w14:paraId="4A20E97E" w14:textId="0FE18170" w:rsidR="006E7340" w:rsidRDefault="007B5FDD" w:rsidP="000E4487">
      <w:pPr>
        <w:pStyle w:val="Akapitzlist"/>
        <w:numPr>
          <w:ilvl w:val="0"/>
          <w:numId w:val="1"/>
        </w:numPr>
        <w:spacing w:after="0" w:line="360" w:lineRule="auto"/>
        <w:ind w:left="284" w:hanging="284"/>
        <w:contextualSpacing w:val="0"/>
        <w:jc w:val="both"/>
        <w:rPr>
          <w:rFonts w:ascii="Arial" w:hAnsi="Arial" w:cs="Arial"/>
        </w:rPr>
      </w:pPr>
      <w:r>
        <w:rPr>
          <w:rFonts w:ascii="Arial" w:hAnsi="Arial" w:cs="Arial"/>
        </w:rPr>
        <w:t>Organ</w:t>
      </w:r>
      <w:r w:rsidR="0016280E" w:rsidRPr="00DE6220">
        <w:rPr>
          <w:rFonts w:ascii="Arial" w:hAnsi="Arial" w:cs="Arial"/>
        </w:rPr>
        <w:t xml:space="preserve"> publiczny </w:t>
      </w:r>
      <w:r>
        <w:rPr>
          <w:rFonts w:ascii="Arial" w:hAnsi="Arial" w:cs="Arial"/>
        </w:rPr>
        <w:t>jest</w:t>
      </w:r>
      <w:r w:rsidR="0016280E" w:rsidRPr="00DE6220">
        <w:rPr>
          <w:rFonts w:ascii="Arial" w:hAnsi="Arial" w:cs="Arial"/>
        </w:rPr>
        <w:t xml:space="preserve"> odrębnym</w:t>
      </w:r>
      <w:r>
        <w:rPr>
          <w:rFonts w:ascii="Arial" w:hAnsi="Arial" w:cs="Arial"/>
        </w:rPr>
        <w:t xml:space="preserve"> </w:t>
      </w:r>
      <w:r w:rsidR="0016280E" w:rsidRPr="00DE6220">
        <w:rPr>
          <w:rFonts w:ascii="Arial" w:hAnsi="Arial" w:cs="Arial"/>
        </w:rPr>
        <w:t>administrator</w:t>
      </w:r>
      <w:r>
        <w:rPr>
          <w:rFonts w:ascii="Arial" w:hAnsi="Arial" w:cs="Arial"/>
        </w:rPr>
        <w:t>em</w:t>
      </w:r>
      <w:r w:rsidR="0016280E">
        <w:rPr>
          <w:rFonts w:ascii="Arial" w:hAnsi="Arial" w:cs="Arial"/>
        </w:rPr>
        <w:t xml:space="preserve"> </w:t>
      </w:r>
      <w:r w:rsidR="0016280E" w:rsidRPr="00DE6220">
        <w:rPr>
          <w:rFonts w:ascii="Arial" w:hAnsi="Arial" w:cs="Arial"/>
        </w:rPr>
        <w:t>w zakresie danych osobowych podanych w zgłoszeniu zewnętrznym, które zostało</w:t>
      </w:r>
      <w:r w:rsidR="0016280E">
        <w:rPr>
          <w:rFonts w:ascii="Arial" w:hAnsi="Arial" w:cs="Arial"/>
        </w:rPr>
        <w:t xml:space="preserve"> </w:t>
      </w:r>
      <w:r w:rsidR="0016280E" w:rsidRPr="00DE6220">
        <w:rPr>
          <w:rFonts w:ascii="Arial" w:hAnsi="Arial" w:cs="Arial"/>
        </w:rPr>
        <w:t>przyjęte przez te</w:t>
      </w:r>
      <w:r>
        <w:rPr>
          <w:rFonts w:ascii="Arial" w:hAnsi="Arial" w:cs="Arial"/>
        </w:rPr>
        <w:t>n</w:t>
      </w:r>
      <w:r w:rsidR="0016280E" w:rsidRPr="00DE6220">
        <w:rPr>
          <w:rFonts w:ascii="Arial" w:hAnsi="Arial" w:cs="Arial"/>
        </w:rPr>
        <w:t xml:space="preserve"> organ</w:t>
      </w:r>
      <w:r w:rsidR="006E7340">
        <w:rPr>
          <w:rFonts w:ascii="Arial" w:hAnsi="Arial" w:cs="Arial"/>
        </w:rPr>
        <w:t>.</w:t>
      </w:r>
    </w:p>
    <w:p w14:paraId="6B18F024" w14:textId="4BE92443" w:rsidR="006E7340" w:rsidRPr="006E7340" w:rsidRDefault="006E7340" w:rsidP="000E4487">
      <w:pPr>
        <w:pStyle w:val="Akapitzlist"/>
        <w:numPr>
          <w:ilvl w:val="0"/>
          <w:numId w:val="1"/>
        </w:numPr>
        <w:spacing w:after="0" w:line="360" w:lineRule="auto"/>
        <w:ind w:left="284" w:hanging="284"/>
        <w:contextualSpacing w:val="0"/>
        <w:jc w:val="both"/>
        <w:rPr>
          <w:rFonts w:ascii="Arial" w:hAnsi="Arial" w:cs="Arial"/>
        </w:rPr>
      </w:pPr>
      <w:r w:rsidRPr="006E7340">
        <w:rPr>
          <w:rFonts w:ascii="Arial" w:hAnsi="Arial" w:cs="Arial"/>
          <w:b/>
          <w:bCs/>
        </w:rPr>
        <w:t>Zgłoszenia anonimowe pozostawia się bez rozpatrzenia.</w:t>
      </w:r>
    </w:p>
    <w:p w14:paraId="4C040FC1" w14:textId="310EF620" w:rsidR="009A223A" w:rsidRPr="00AD24EC" w:rsidRDefault="009A223A" w:rsidP="000E4487">
      <w:pPr>
        <w:spacing w:after="0" w:line="360" w:lineRule="auto"/>
        <w:jc w:val="center"/>
        <w:rPr>
          <w:rFonts w:ascii="Arial" w:hAnsi="Arial" w:cs="Arial"/>
          <w:b/>
          <w:bCs/>
          <w:color w:val="4472C4" w:themeColor="accent1"/>
        </w:rPr>
      </w:pPr>
      <w:r w:rsidRPr="00AD24EC">
        <w:rPr>
          <w:rFonts w:ascii="Arial" w:hAnsi="Arial" w:cs="Arial"/>
          <w:b/>
          <w:bCs/>
          <w:color w:val="4472C4" w:themeColor="accent1"/>
        </w:rPr>
        <w:t xml:space="preserve">§ </w:t>
      </w:r>
      <w:r w:rsidR="00BB4F44" w:rsidRPr="00AD24EC">
        <w:rPr>
          <w:rFonts w:ascii="Arial" w:hAnsi="Arial" w:cs="Arial"/>
          <w:b/>
          <w:bCs/>
          <w:color w:val="4472C4" w:themeColor="accent1"/>
        </w:rPr>
        <w:t>3</w:t>
      </w:r>
    </w:p>
    <w:p w14:paraId="6A3AE566" w14:textId="77777777" w:rsidR="009A223A" w:rsidRDefault="009A223A" w:rsidP="000E4487">
      <w:pPr>
        <w:pStyle w:val="Akapitzlist"/>
        <w:numPr>
          <w:ilvl w:val="0"/>
          <w:numId w:val="2"/>
        </w:numPr>
        <w:spacing w:after="0" w:line="360" w:lineRule="auto"/>
        <w:ind w:left="284" w:hanging="284"/>
        <w:contextualSpacing w:val="0"/>
        <w:jc w:val="both"/>
        <w:rPr>
          <w:rFonts w:ascii="Arial" w:hAnsi="Arial" w:cs="Arial"/>
        </w:rPr>
      </w:pPr>
      <w:r>
        <w:rPr>
          <w:rFonts w:ascii="Arial" w:hAnsi="Arial" w:cs="Arial"/>
        </w:rPr>
        <w:t>Organ publiczny:</w:t>
      </w:r>
    </w:p>
    <w:p w14:paraId="531163BD" w14:textId="2C12D366" w:rsidR="009A223A" w:rsidRDefault="009A223A" w:rsidP="000E4487">
      <w:pPr>
        <w:pStyle w:val="Akapitzlist"/>
        <w:numPr>
          <w:ilvl w:val="0"/>
          <w:numId w:val="3"/>
        </w:numPr>
        <w:spacing w:after="0" w:line="360" w:lineRule="auto"/>
        <w:ind w:left="567" w:hanging="283"/>
        <w:contextualSpacing w:val="0"/>
        <w:jc w:val="both"/>
        <w:rPr>
          <w:rFonts w:ascii="Arial" w:hAnsi="Arial" w:cs="Arial"/>
        </w:rPr>
      </w:pPr>
      <w:r>
        <w:rPr>
          <w:rFonts w:ascii="Arial" w:hAnsi="Arial" w:cs="Arial"/>
        </w:rPr>
        <w:t>przyjmuje zgłoszenie zewnętrzne</w:t>
      </w:r>
      <w:r w:rsidR="00DC6D30">
        <w:rPr>
          <w:rFonts w:ascii="Arial" w:hAnsi="Arial" w:cs="Arial"/>
        </w:rPr>
        <w:t>;</w:t>
      </w:r>
    </w:p>
    <w:p w14:paraId="15E5951A" w14:textId="28C87B2E" w:rsidR="009A223A" w:rsidRDefault="009A223A" w:rsidP="000E4487">
      <w:pPr>
        <w:pStyle w:val="Akapitzlist"/>
        <w:numPr>
          <w:ilvl w:val="0"/>
          <w:numId w:val="3"/>
        </w:numPr>
        <w:spacing w:after="0" w:line="360" w:lineRule="auto"/>
        <w:ind w:left="567" w:hanging="283"/>
        <w:contextualSpacing w:val="0"/>
        <w:jc w:val="both"/>
        <w:rPr>
          <w:rFonts w:ascii="Arial" w:hAnsi="Arial" w:cs="Arial"/>
        </w:rPr>
      </w:pPr>
      <w:r>
        <w:rPr>
          <w:rFonts w:ascii="Arial" w:hAnsi="Arial" w:cs="Arial"/>
        </w:rPr>
        <w:t xml:space="preserve">dokonuje wstępnej weryfikacji zgłoszenia zewnętrznego, polegającej na ustaleniu, </w:t>
      </w:r>
      <w:r w:rsidRPr="009A223A">
        <w:rPr>
          <w:rFonts w:ascii="Arial" w:hAnsi="Arial" w:cs="Arial"/>
        </w:rPr>
        <w:t>czy zgłoszenie dotyczy informacji</w:t>
      </w:r>
      <w:r>
        <w:rPr>
          <w:rFonts w:ascii="Arial" w:hAnsi="Arial" w:cs="Arial"/>
        </w:rPr>
        <w:t xml:space="preserve"> </w:t>
      </w:r>
      <w:r w:rsidRPr="009A223A">
        <w:rPr>
          <w:rFonts w:ascii="Arial" w:hAnsi="Arial" w:cs="Arial"/>
        </w:rPr>
        <w:t>o naruszeniu prawa, oraz na ustaleniu, czy zgłoszenie dotyczy naruszeń prawa w dziedzinie należącej do zakresu działania</w:t>
      </w:r>
      <w:r>
        <w:rPr>
          <w:rFonts w:ascii="Arial" w:hAnsi="Arial" w:cs="Arial"/>
        </w:rPr>
        <w:t xml:space="preserve"> </w:t>
      </w:r>
      <w:r w:rsidRPr="009A223A">
        <w:rPr>
          <w:rFonts w:ascii="Arial" w:hAnsi="Arial" w:cs="Arial"/>
        </w:rPr>
        <w:t xml:space="preserve">tego organu, </w:t>
      </w:r>
      <w:r w:rsidR="00DC6D30">
        <w:rPr>
          <w:rFonts w:ascii="Arial" w:hAnsi="Arial" w:cs="Arial"/>
        </w:rPr>
        <w:br/>
      </w:r>
      <w:r w:rsidRPr="009A223A">
        <w:rPr>
          <w:rFonts w:ascii="Arial" w:hAnsi="Arial" w:cs="Arial"/>
        </w:rPr>
        <w:lastRenderedPageBreak/>
        <w:t xml:space="preserve">a jeżeli nie należy </w:t>
      </w:r>
      <w:r w:rsidR="00DC6D30">
        <w:rPr>
          <w:rFonts w:ascii="Arial" w:hAnsi="Arial" w:cs="Arial"/>
        </w:rPr>
        <w:t>-</w:t>
      </w:r>
      <w:r w:rsidRPr="009A223A">
        <w:rPr>
          <w:rFonts w:ascii="Arial" w:hAnsi="Arial" w:cs="Arial"/>
        </w:rPr>
        <w:t xml:space="preserve"> na ustaleniu organu publicznego właściwego do podjęcia działań następczych</w:t>
      </w:r>
      <w:r w:rsidR="00DC6D30">
        <w:rPr>
          <w:rFonts w:ascii="Arial" w:hAnsi="Arial" w:cs="Arial"/>
        </w:rPr>
        <w:t>;</w:t>
      </w:r>
    </w:p>
    <w:p w14:paraId="0A283CE6" w14:textId="77777777" w:rsidR="009A223A" w:rsidRDefault="009A223A" w:rsidP="000E4487">
      <w:pPr>
        <w:pStyle w:val="Akapitzlist"/>
        <w:numPr>
          <w:ilvl w:val="0"/>
          <w:numId w:val="3"/>
        </w:numPr>
        <w:spacing w:after="0" w:line="360" w:lineRule="auto"/>
        <w:ind w:left="567" w:hanging="283"/>
        <w:contextualSpacing w:val="0"/>
        <w:jc w:val="both"/>
        <w:rPr>
          <w:rFonts w:ascii="Arial" w:hAnsi="Arial" w:cs="Arial"/>
        </w:rPr>
      </w:pPr>
      <w:r w:rsidRPr="009A223A">
        <w:rPr>
          <w:rFonts w:ascii="Arial" w:hAnsi="Arial" w:cs="Arial"/>
        </w:rPr>
        <w:t xml:space="preserve">rozpatruje zgłoszenie zewnętrzne </w:t>
      </w:r>
      <w:r>
        <w:rPr>
          <w:rFonts w:ascii="Arial" w:hAnsi="Arial" w:cs="Arial"/>
        </w:rPr>
        <w:t>-</w:t>
      </w:r>
      <w:r w:rsidRPr="009A223A">
        <w:rPr>
          <w:rFonts w:ascii="Arial" w:hAnsi="Arial" w:cs="Arial"/>
        </w:rPr>
        <w:t xml:space="preserve"> w przypadku gdy zgłoszenie dotyczy naruszeń prawa w dziedzinie należącej do zakresu działania tego organu;</w:t>
      </w:r>
    </w:p>
    <w:p w14:paraId="5802C1A9" w14:textId="2B69C5A5" w:rsidR="009A223A" w:rsidRDefault="009A223A" w:rsidP="000E4487">
      <w:pPr>
        <w:pStyle w:val="Akapitzlist"/>
        <w:numPr>
          <w:ilvl w:val="0"/>
          <w:numId w:val="3"/>
        </w:numPr>
        <w:spacing w:after="0" w:line="360" w:lineRule="auto"/>
        <w:ind w:left="567" w:hanging="283"/>
        <w:contextualSpacing w:val="0"/>
        <w:jc w:val="both"/>
        <w:rPr>
          <w:rFonts w:ascii="Arial" w:hAnsi="Arial" w:cs="Arial"/>
        </w:rPr>
      </w:pPr>
      <w:r w:rsidRPr="009A223A">
        <w:rPr>
          <w:rFonts w:ascii="Arial" w:hAnsi="Arial" w:cs="Arial"/>
        </w:rPr>
        <w:t>przekazuje zgłoszenie zewnętrzne niezwłocznie, nie później jednak niż w terminie 14 dni od dnia dokonania zgłoszenia,</w:t>
      </w:r>
      <w:r>
        <w:rPr>
          <w:rFonts w:ascii="Arial" w:hAnsi="Arial" w:cs="Arial"/>
        </w:rPr>
        <w:t xml:space="preserve"> </w:t>
      </w:r>
      <w:r w:rsidRPr="009A223A">
        <w:rPr>
          <w:rFonts w:ascii="Arial" w:hAnsi="Arial" w:cs="Arial"/>
        </w:rPr>
        <w:t xml:space="preserve">a w uzasadnionych przypadkach – nie później niż </w:t>
      </w:r>
      <w:r w:rsidR="00BB4F44">
        <w:rPr>
          <w:rFonts w:ascii="Arial" w:hAnsi="Arial" w:cs="Arial"/>
        </w:rPr>
        <w:br/>
      </w:r>
      <w:r w:rsidRPr="009A223A">
        <w:rPr>
          <w:rFonts w:ascii="Arial" w:hAnsi="Arial" w:cs="Arial"/>
        </w:rPr>
        <w:t>w terminie 30 dni, do organu publicznego właściwego do podjęcia</w:t>
      </w:r>
      <w:r>
        <w:rPr>
          <w:rFonts w:ascii="Arial" w:hAnsi="Arial" w:cs="Arial"/>
        </w:rPr>
        <w:t xml:space="preserve"> </w:t>
      </w:r>
      <w:r w:rsidRPr="009A223A">
        <w:rPr>
          <w:rFonts w:ascii="Arial" w:hAnsi="Arial" w:cs="Arial"/>
        </w:rPr>
        <w:t>działań następczych – w przypadku gdy zgłoszenie dotyczy naruszeń prawa w dziedzinie nienależącej do zakresu działania tego organu – oraz informuje o tym sygnalistę;</w:t>
      </w:r>
    </w:p>
    <w:p w14:paraId="7A66BC47" w14:textId="77777777" w:rsidR="009A223A" w:rsidRDefault="009A223A" w:rsidP="000E4487">
      <w:pPr>
        <w:pStyle w:val="Akapitzlist"/>
        <w:numPr>
          <w:ilvl w:val="0"/>
          <w:numId w:val="3"/>
        </w:numPr>
        <w:spacing w:after="0" w:line="360" w:lineRule="auto"/>
        <w:ind w:left="567" w:hanging="283"/>
        <w:contextualSpacing w:val="0"/>
        <w:jc w:val="both"/>
        <w:rPr>
          <w:rFonts w:ascii="Arial" w:hAnsi="Arial" w:cs="Arial"/>
        </w:rPr>
      </w:pPr>
      <w:r w:rsidRPr="009A223A">
        <w:rPr>
          <w:rFonts w:ascii="Arial" w:hAnsi="Arial" w:cs="Arial"/>
        </w:rPr>
        <w:t>podejmuje działania następcze z zachowaniem należytej staranności;</w:t>
      </w:r>
    </w:p>
    <w:p w14:paraId="0BB240A1" w14:textId="4981249F" w:rsidR="009A223A" w:rsidRDefault="009A223A" w:rsidP="000E4487">
      <w:pPr>
        <w:pStyle w:val="Akapitzlist"/>
        <w:numPr>
          <w:ilvl w:val="0"/>
          <w:numId w:val="3"/>
        </w:numPr>
        <w:spacing w:after="0" w:line="360" w:lineRule="auto"/>
        <w:ind w:left="567" w:hanging="283"/>
        <w:contextualSpacing w:val="0"/>
        <w:jc w:val="both"/>
        <w:rPr>
          <w:rFonts w:ascii="Arial" w:hAnsi="Arial" w:cs="Arial"/>
        </w:rPr>
      </w:pPr>
      <w:r w:rsidRPr="009A223A">
        <w:rPr>
          <w:rFonts w:ascii="Arial" w:hAnsi="Arial" w:cs="Arial"/>
        </w:rPr>
        <w:t>przekazuje sygnaliście informację zwrotną.</w:t>
      </w:r>
    </w:p>
    <w:p w14:paraId="0985A32D" w14:textId="27F88E33" w:rsidR="009A223A" w:rsidRPr="00AD24EC" w:rsidRDefault="009A223A" w:rsidP="000E4487">
      <w:pPr>
        <w:spacing w:after="0" w:line="360" w:lineRule="auto"/>
        <w:ind w:left="284"/>
        <w:jc w:val="center"/>
        <w:rPr>
          <w:rFonts w:ascii="Arial" w:hAnsi="Arial" w:cs="Arial"/>
          <w:b/>
          <w:bCs/>
          <w:color w:val="4472C4" w:themeColor="accent1"/>
        </w:rPr>
      </w:pPr>
      <w:r w:rsidRPr="00AD24EC">
        <w:rPr>
          <w:rFonts w:ascii="Arial" w:hAnsi="Arial" w:cs="Arial"/>
          <w:b/>
          <w:bCs/>
          <w:color w:val="4472C4" w:themeColor="accent1"/>
        </w:rPr>
        <w:t xml:space="preserve">§ </w:t>
      </w:r>
      <w:r w:rsidR="00BB4F44" w:rsidRPr="00AD24EC">
        <w:rPr>
          <w:rFonts w:ascii="Arial" w:hAnsi="Arial" w:cs="Arial"/>
          <w:b/>
          <w:bCs/>
          <w:color w:val="4472C4" w:themeColor="accent1"/>
        </w:rPr>
        <w:t>4</w:t>
      </w:r>
    </w:p>
    <w:p w14:paraId="7CDB8812" w14:textId="77777777" w:rsidR="009A223A" w:rsidRDefault="009A223A" w:rsidP="000E4487">
      <w:pPr>
        <w:pStyle w:val="Akapitzlist"/>
        <w:numPr>
          <w:ilvl w:val="0"/>
          <w:numId w:val="4"/>
        </w:numPr>
        <w:spacing w:after="0" w:line="360" w:lineRule="auto"/>
        <w:ind w:left="284" w:hanging="284"/>
        <w:contextualSpacing w:val="0"/>
        <w:jc w:val="both"/>
        <w:rPr>
          <w:rFonts w:ascii="Arial" w:hAnsi="Arial" w:cs="Arial"/>
        </w:rPr>
      </w:pPr>
      <w:r w:rsidRPr="009A223A">
        <w:rPr>
          <w:rFonts w:ascii="Arial" w:hAnsi="Arial" w:cs="Arial"/>
        </w:rPr>
        <w:t>Organ publiczny odstępuje od przekazania zgłoszenia zewnętrznego, jeżeli zgłoszenie nie dotyczy informacji o naruszeniu prawa.</w:t>
      </w:r>
    </w:p>
    <w:p w14:paraId="7F10C2B5" w14:textId="77777777" w:rsidR="009A223A" w:rsidRDefault="009A223A" w:rsidP="000E4487">
      <w:pPr>
        <w:pStyle w:val="Akapitzlist"/>
        <w:numPr>
          <w:ilvl w:val="0"/>
          <w:numId w:val="4"/>
        </w:numPr>
        <w:spacing w:after="0" w:line="360" w:lineRule="auto"/>
        <w:ind w:left="284" w:hanging="284"/>
        <w:contextualSpacing w:val="0"/>
        <w:jc w:val="both"/>
        <w:rPr>
          <w:rFonts w:ascii="Arial" w:hAnsi="Arial" w:cs="Arial"/>
        </w:rPr>
      </w:pPr>
      <w:r>
        <w:rPr>
          <w:rFonts w:ascii="Arial" w:hAnsi="Arial" w:cs="Arial"/>
        </w:rPr>
        <w:t xml:space="preserve">Organ publiczny </w:t>
      </w:r>
      <w:r w:rsidRPr="009A223A">
        <w:rPr>
          <w:rFonts w:ascii="Arial" w:hAnsi="Arial" w:cs="Arial"/>
        </w:rPr>
        <w:t>informuje sygnalistę o odstąpieniu od przekazania zgłoszenia zewnętrznego, podając</w:t>
      </w:r>
      <w:r>
        <w:rPr>
          <w:rFonts w:ascii="Arial" w:hAnsi="Arial" w:cs="Arial"/>
        </w:rPr>
        <w:t xml:space="preserve"> </w:t>
      </w:r>
      <w:r w:rsidRPr="009A223A">
        <w:rPr>
          <w:rFonts w:ascii="Arial" w:hAnsi="Arial" w:cs="Arial"/>
        </w:rPr>
        <w:t>ustalenia ze wstępnej weryfikacji zgłoszenia.</w:t>
      </w:r>
    </w:p>
    <w:p w14:paraId="38317BBA" w14:textId="61C2FF21" w:rsidR="006C64D4" w:rsidRDefault="009A223A" w:rsidP="000E4487">
      <w:pPr>
        <w:pStyle w:val="Akapitzlist"/>
        <w:numPr>
          <w:ilvl w:val="0"/>
          <w:numId w:val="4"/>
        </w:numPr>
        <w:spacing w:after="0" w:line="360" w:lineRule="auto"/>
        <w:ind w:left="284" w:hanging="284"/>
        <w:contextualSpacing w:val="0"/>
        <w:jc w:val="both"/>
        <w:rPr>
          <w:rFonts w:ascii="Arial" w:hAnsi="Arial" w:cs="Arial"/>
        </w:rPr>
      </w:pPr>
      <w:r w:rsidRPr="009A223A">
        <w:rPr>
          <w:rFonts w:ascii="Arial" w:hAnsi="Arial" w:cs="Arial"/>
        </w:rPr>
        <w:t xml:space="preserve">Odstępując od przekazania zgłoszenia zewnętrznego, </w:t>
      </w:r>
      <w:r>
        <w:rPr>
          <w:rFonts w:ascii="Arial" w:hAnsi="Arial" w:cs="Arial"/>
        </w:rPr>
        <w:t>organ publiczny</w:t>
      </w:r>
      <w:r w:rsidRPr="009A223A">
        <w:rPr>
          <w:rFonts w:ascii="Arial" w:hAnsi="Arial" w:cs="Arial"/>
        </w:rPr>
        <w:t xml:space="preserve"> może poinformować sygnalistę,</w:t>
      </w:r>
      <w:r>
        <w:rPr>
          <w:rFonts w:ascii="Arial" w:hAnsi="Arial" w:cs="Arial"/>
        </w:rPr>
        <w:t xml:space="preserve"> </w:t>
      </w:r>
      <w:r w:rsidRPr="009A223A">
        <w:rPr>
          <w:rFonts w:ascii="Arial" w:hAnsi="Arial" w:cs="Arial"/>
        </w:rPr>
        <w:t>że informacja objęta zgłoszeniem podlega rozpatrzeniu w trybie przewidzianym w przepisach odrębnych, w szczególności</w:t>
      </w:r>
      <w:r>
        <w:rPr>
          <w:rFonts w:ascii="Arial" w:hAnsi="Arial" w:cs="Arial"/>
        </w:rPr>
        <w:t xml:space="preserve"> </w:t>
      </w:r>
      <w:r w:rsidRPr="009A223A">
        <w:rPr>
          <w:rFonts w:ascii="Arial" w:hAnsi="Arial" w:cs="Arial"/>
        </w:rPr>
        <w:t>jako przedmiot powództwa cywilnego, zawiadomienia o podejrzeniu popełnienia przestępstwa, skargi do sądu administracyjnego, skargi, wniosku lub petycji, lub może zostać przedstawiona właściwym organom do rozpatrzenia w innym trybie.</w:t>
      </w:r>
      <w:r>
        <w:rPr>
          <w:rFonts w:ascii="Arial" w:hAnsi="Arial" w:cs="Arial"/>
        </w:rPr>
        <w:t xml:space="preserve"> </w:t>
      </w:r>
      <w:r w:rsidRPr="009A223A">
        <w:rPr>
          <w:rFonts w:ascii="Arial" w:hAnsi="Arial" w:cs="Arial"/>
        </w:rPr>
        <w:t>Poinformowanie sygnalisty nie wpływa w szczególności na dopuszczalność wniesionego później środka prawnego, na bieg</w:t>
      </w:r>
      <w:r>
        <w:rPr>
          <w:rFonts w:ascii="Arial" w:hAnsi="Arial" w:cs="Arial"/>
        </w:rPr>
        <w:t xml:space="preserve"> </w:t>
      </w:r>
      <w:r w:rsidRPr="009A223A">
        <w:rPr>
          <w:rFonts w:ascii="Arial" w:hAnsi="Arial" w:cs="Arial"/>
        </w:rPr>
        <w:t>terminów ani na treść rozstrzygnięcia lub sposób zakończenia postępowania. Informacja przekazana sygnaliście zawiera</w:t>
      </w:r>
      <w:r>
        <w:rPr>
          <w:rFonts w:ascii="Arial" w:hAnsi="Arial" w:cs="Arial"/>
        </w:rPr>
        <w:t xml:space="preserve"> </w:t>
      </w:r>
      <w:r w:rsidRPr="009A223A">
        <w:rPr>
          <w:rFonts w:ascii="Arial" w:hAnsi="Arial" w:cs="Arial"/>
        </w:rPr>
        <w:t>pouczenie w tym zakresie.</w:t>
      </w:r>
    </w:p>
    <w:p w14:paraId="0B59EDF3" w14:textId="77777777" w:rsidR="00DC6D30" w:rsidRDefault="00DC6D30" w:rsidP="000E4487">
      <w:pPr>
        <w:pStyle w:val="Akapitzlist"/>
        <w:spacing w:after="0" w:line="360" w:lineRule="auto"/>
        <w:ind w:left="0"/>
        <w:contextualSpacing w:val="0"/>
        <w:jc w:val="center"/>
        <w:rPr>
          <w:rFonts w:ascii="Arial" w:hAnsi="Arial" w:cs="Arial"/>
          <w:b/>
          <w:bCs/>
          <w:color w:val="4472C4" w:themeColor="accent1"/>
        </w:rPr>
      </w:pPr>
    </w:p>
    <w:p w14:paraId="084E7401" w14:textId="09CCA81C" w:rsidR="007B5FDD" w:rsidRPr="007B5FDD" w:rsidRDefault="007B5FDD" w:rsidP="000E4487">
      <w:pPr>
        <w:pStyle w:val="Akapitzlist"/>
        <w:spacing w:after="0" w:line="360" w:lineRule="auto"/>
        <w:ind w:left="0"/>
        <w:contextualSpacing w:val="0"/>
        <w:jc w:val="center"/>
        <w:rPr>
          <w:rFonts w:ascii="Arial" w:hAnsi="Arial" w:cs="Arial"/>
          <w:b/>
          <w:bCs/>
          <w:color w:val="4472C4" w:themeColor="accent1"/>
        </w:rPr>
      </w:pPr>
      <w:r w:rsidRPr="007B5FDD">
        <w:rPr>
          <w:rFonts w:ascii="Arial" w:hAnsi="Arial" w:cs="Arial"/>
          <w:b/>
          <w:bCs/>
          <w:color w:val="4472C4" w:themeColor="accent1"/>
        </w:rPr>
        <w:t>Przyjmowanie zgłoszeń zewnętrznych</w:t>
      </w:r>
    </w:p>
    <w:p w14:paraId="035A4C6D" w14:textId="388FEB50" w:rsidR="006E7340" w:rsidRPr="00AD24EC" w:rsidRDefault="006E7340" w:rsidP="000E4487">
      <w:pPr>
        <w:pStyle w:val="Akapitzlist"/>
        <w:spacing w:after="0" w:line="360" w:lineRule="auto"/>
        <w:ind w:left="0"/>
        <w:contextualSpacing w:val="0"/>
        <w:jc w:val="center"/>
        <w:rPr>
          <w:rFonts w:ascii="Arial" w:hAnsi="Arial" w:cs="Arial"/>
          <w:b/>
          <w:bCs/>
          <w:color w:val="4472C4" w:themeColor="accent1"/>
        </w:rPr>
      </w:pPr>
      <w:r w:rsidRPr="00AD24EC">
        <w:rPr>
          <w:rFonts w:ascii="Arial" w:hAnsi="Arial" w:cs="Arial"/>
          <w:b/>
          <w:bCs/>
          <w:color w:val="4472C4" w:themeColor="accent1"/>
        </w:rPr>
        <w:t>§</w:t>
      </w:r>
      <w:r w:rsidR="00DC6D30" w:rsidRPr="00AD24EC">
        <w:rPr>
          <w:rFonts w:ascii="Arial" w:hAnsi="Arial" w:cs="Arial"/>
          <w:b/>
          <w:bCs/>
          <w:color w:val="4472C4" w:themeColor="accent1"/>
        </w:rPr>
        <w:t xml:space="preserve"> 5</w:t>
      </w:r>
    </w:p>
    <w:p w14:paraId="6597DE52" w14:textId="77777777" w:rsidR="00BB309E" w:rsidRDefault="006E7340" w:rsidP="000E4487">
      <w:pPr>
        <w:pStyle w:val="Akapitzlist"/>
        <w:numPr>
          <w:ilvl w:val="0"/>
          <w:numId w:val="23"/>
        </w:numPr>
        <w:spacing w:after="0" w:line="360" w:lineRule="auto"/>
        <w:ind w:left="284" w:hanging="284"/>
        <w:contextualSpacing w:val="0"/>
        <w:jc w:val="both"/>
        <w:rPr>
          <w:rFonts w:ascii="Arial" w:hAnsi="Arial" w:cs="Arial"/>
        </w:rPr>
      </w:pPr>
      <w:r w:rsidRPr="00BB309E">
        <w:rPr>
          <w:rFonts w:ascii="Arial" w:hAnsi="Arial" w:cs="Arial"/>
        </w:rPr>
        <w:t>Zgłoszenie zewnętrzne może być dokonane ustnie lub pisemnie</w:t>
      </w:r>
      <w:r w:rsidR="0070189E" w:rsidRPr="00BB309E">
        <w:rPr>
          <w:rFonts w:ascii="Arial" w:hAnsi="Arial" w:cs="Arial"/>
        </w:rPr>
        <w:t xml:space="preserve"> kanałami komunikacji przyjętymi na potrzeby przyjmowania zgłoszeń wewnętrznych, przy czym w przypadku zgłoszenia pisemnego  dokonanego w postaci papierowej </w:t>
      </w:r>
      <w:r w:rsidRPr="00BB309E">
        <w:rPr>
          <w:rFonts w:ascii="Arial" w:hAnsi="Arial" w:cs="Arial"/>
        </w:rPr>
        <w:t>koper</w:t>
      </w:r>
      <w:r w:rsidR="0070189E" w:rsidRPr="00BB309E">
        <w:rPr>
          <w:rFonts w:ascii="Arial" w:hAnsi="Arial" w:cs="Arial"/>
        </w:rPr>
        <w:t>tę należy</w:t>
      </w:r>
      <w:r w:rsidRPr="00BB309E">
        <w:rPr>
          <w:rFonts w:ascii="Arial" w:hAnsi="Arial" w:cs="Arial"/>
        </w:rPr>
        <w:t xml:space="preserve"> opatrz</w:t>
      </w:r>
      <w:r w:rsidR="0070189E" w:rsidRPr="00BB309E">
        <w:rPr>
          <w:rFonts w:ascii="Arial" w:hAnsi="Arial" w:cs="Arial"/>
        </w:rPr>
        <w:t xml:space="preserve">yć </w:t>
      </w:r>
      <w:r w:rsidRPr="00BB309E">
        <w:rPr>
          <w:rFonts w:ascii="Arial" w:hAnsi="Arial" w:cs="Arial"/>
        </w:rPr>
        <w:t>napisem „ZGŁOSZENIE ZEWNĘTRZNE – nie otwierać</w:t>
      </w:r>
      <w:r w:rsidR="0070189E" w:rsidRPr="00BB309E">
        <w:rPr>
          <w:rFonts w:ascii="Arial" w:hAnsi="Arial" w:cs="Arial"/>
        </w:rPr>
        <w:t>”.</w:t>
      </w:r>
    </w:p>
    <w:p w14:paraId="3DF52450" w14:textId="2709894F" w:rsidR="00BB309E" w:rsidRPr="00BB309E" w:rsidRDefault="00BB309E" w:rsidP="000E4487">
      <w:pPr>
        <w:pStyle w:val="Akapitzlist"/>
        <w:numPr>
          <w:ilvl w:val="0"/>
          <w:numId w:val="23"/>
        </w:numPr>
        <w:spacing w:after="0" w:line="360" w:lineRule="auto"/>
        <w:ind w:left="284" w:hanging="284"/>
        <w:contextualSpacing w:val="0"/>
        <w:jc w:val="both"/>
        <w:rPr>
          <w:rFonts w:ascii="Arial" w:hAnsi="Arial" w:cs="Arial"/>
        </w:rPr>
      </w:pPr>
      <w:r>
        <w:rPr>
          <w:rFonts w:ascii="Arial" w:hAnsi="Arial" w:cs="Arial"/>
        </w:rPr>
        <w:t xml:space="preserve">Potwierdzenie przyjęcia </w:t>
      </w:r>
      <w:r w:rsidRPr="00BB309E">
        <w:rPr>
          <w:rFonts w:ascii="Arial" w:hAnsi="Arial" w:cs="Arial"/>
        </w:rPr>
        <w:t>zgłoszeni</w:t>
      </w:r>
      <w:r>
        <w:rPr>
          <w:rFonts w:ascii="Arial" w:hAnsi="Arial" w:cs="Arial"/>
        </w:rPr>
        <w:t>a</w:t>
      </w:r>
      <w:r w:rsidRPr="00BB309E">
        <w:rPr>
          <w:rFonts w:ascii="Arial" w:hAnsi="Arial" w:cs="Arial"/>
        </w:rPr>
        <w:t xml:space="preserve"> zewnętrzne</w:t>
      </w:r>
      <w:r>
        <w:rPr>
          <w:rFonts w:ascii="Arial" w:hAnsi="Arial" w:cs="Arial"/>
        </w:rPr>
        <w:t>go</w:t>
      </w:r>
      <w:r w:rsidRPr="00BB309E">
        <w:rPr>
          <w:rFonts w:ascii="Arial" w:hAnsi="Arial" w:cs="Arial"/>
        </w:rPr>
        <w:t xml:space="preserve"> sygnaliście</w:t>
      </w:r>
      <w:r>
        <w:rPr>
          <w:rFonts w:ascii="Arial" w:hAnsi="Arial" w:cs="Arial"/>
        </w:rPr>
        <w:t xml:space="preserve"> następuje </w:t>
      </w:r>
      <w:r w:rsidRPr="00BB309E">
        <w:rPr>
          <w:rFonts w:ascii="Arial" w:hAnsi="Arial" w:cs="Arial"/>
        </w:rPr>
        <w:t>niezwłocznie, nie później jednak niż w terminie 7 dni od dnia przyjęcia zgłoszenia, chyba że</w:t>
      </w:r>
      <w:r>
        <w:rPr>
          <w:rFonts w:ascii="Arial" w:hAnsi="Arial" w:cs="Arial"/>
        </w:rPr>
        <w:t xml:space="preserve"> </w:t>
      </w:r>
      <w:r w:rsidRPr="00BB309E">
        <w:rPr>
          <w:rFonts w:ascii="Arial" w:hAnsi="Arial" w:cs="Arial"/>
        </w:rPr>
        <w:t>sygnalista wystąpił wyraźnie z odmiennym wnioskiem w tym zakresie lub organ publiczny</w:t>
      </w:r>
      <w:r>
        <w:rPr>
          <w:rFonts w:ascii="Arial" w:hAnsi="Arial" w:cs="Arial"/>
        </w:rPr>
        <w:t xml:space="preserve"> </w:t>
      </w:r>
      <w:r w:rsidRPr="00BB309E">
        <w:rPr>
          <w:rFonts w:ascii="Arial" w:hAnsi="Arial" w:cs="Arial"/>
        </w:rPr>
        <w:t>ma uzasadnione podstawy sądzić, że potwierdzenie przyjęcia zgłoszenia zagroziłoby ochronie poufności tożsamości sygnalisty</w:t>
      </w:r>
      <w:r>
        <w:rPr>
          <w:rFonts w:ascii="Arial" w:hAnsi="Arial" w:cs="Arial"/>
        </w:rPr>
        <w:t>.</w:t>
      </w:r>
    </w:p>
    <w:p w14:paraId="1F01A791" w14:textId="3EBC6A27" w:rsidR="006D3B20" w:rsidRPr="006D3B20" w:rsidRDefault="006D3B20" w:rsidP="000E4487">
      <w:pPr>
        <w:spacing w:after="0" w:line="360" w:lineRule="auto"/>
        <w:jc w:val="center"/>
        <w:rPr>
          <w:rFonts w:ascii="Arial" w:hAnsi="Arial" w:cs="Arial"/>
          <w:b/>
          <w:bCs/>
          <w:color w:val="4472C4" w:themeColor="accent1"/>
        </w:rPr>
      </w:pPr>
      <w:r>
        <w:rPr>
          <w:rFonts w:ascii="Arial" w:hAnsi="Arial" w:cs="Arial"/>
          <w:b/>
          <w:bCs/>
          <w:color w:val="4472C4" w:themeColor="accent1"/>
        </w:rPr>
        <w:lastRenderedPageBreak/>
        <w:t>Rozpatrywanie</w:t>
      </w:r>
      <w:r w:rsidRPr="006D3B20">
        <w:rPr>
          <w:rFonts w:ascii="Arial" w:hAnsi="Arial" w:cs="Arial"/>
          <w:b/>
          <w:bCs/>
          <w:color w:val="4472C4" w:themeColor="accent1"/>
        </w:rPr>
        <w:t xml:space="preserve"> zgłoszeń zewnętrznych</w:t>
      </w:r>
      <w:r w:rsidR="009576B7">
        <w:rPr>
          <w:rFonts w:ascii="Arial" w:hAnsi="Arial" w:cs="Arial"/>
          <w:b/>
          <w:bCs/>
          <w:color w:val="4472C4" w:themeColor="accent1"/>
        </w:rPr>
        <w:t xml:space="preserve"> i podejmowanie działań następczych</w:t>
      </w:r>
    </w:p>
    <w:p w14:paraId="1D8620DF" w14:textId="45A07AB2" w:rsidR="006D3B20" w:rsidRPr="00AD24EC" w:rsidRDefault="006D3B20" w:rsidP="000E4487">
      <w:pPr>
        <w:spacing w:after="0" w:line="360" w:lineRule="auto"/>
        <w:jc w:val="center"/>
        <w:rPr>
          <w:rFonts w:ascii="Arial" w:hAnsi="Arial" w:cs="Arial"/>
          <w:b/>
          <w:bCs/>
          <w:color w:val="4472C4" w:themeColor="accent1"/>
        </w:rPr>
      </w:pPr>
      <w:r w:rsidRPr="00AD24EC">
        <w:rPr>
          <w:rFonts w:ascii="Arial" w:hAnsi="Arial" w:cs="Arial"/>
          <w:b/>
          <w:bCs/>
          <w:color w:val="4472C4" w:themeColor="accent1"/>
        </w:rPr>
        <w:t xml:space="preserve">§ </w:t>
      </w:r>
      <w:r w:rsidR="00DC6D30" w:rsidRPr="00AD24EC">
        <w:rPr>
          <w:rFonts w:ascii="Arial" w:hAnsi="Arial" w:cs="Arial"/>
          <w:b/>
          <w:bCs/>
          <w:color w:val="4472C4" w:themeColor="accent1"/>
        </w:rPr>
        <w:t>6</w:t>
      </w:r>
    </w:p>
    <w:p w14:paraId="12F92FBB" w14:textId="77777777" w:rsidR="009576B7" w:rsidRDefault="009576B7" w:rsidP="000E4487">
      <w:pPr>
        <w:pStyle w:val="Akapitzlist"/>
        <w:numPr>
          <w:ilvl w:val="0"/>
          <w:numId w:val="13"/>
        </w:numPr>
        <w:spacing w:after="0" w:line="360" w:lineRule="auto"/>
        <w:ind w:left="284" w:hanging="284"/>
        <w:contextualSpacing w:val="0"/>
        <w:jc w:val="both"/>
        <w:rPr>
          <w:rFonts w:ascii="Arial" w:hAnsi="Arial" w:cs="Arial"/>
        </w:rPr>
      </w:pPr>
      <w:r>
        <w:rPr>
          <w:rFonts w:ascii="Arial" w:hAnsi="Arial" w:cs="Arial"/>
        </w:rPr>
        <w:t>Ustalenia</w:t>
      </w:r>
      <w:r w:rsidRPr="006D3B20">
        <w:rPr>
          <w:rFonts w:ascii="Arial" w:hAnsi="Arial" w:cs="Arial"/>
        </w:rPr>
        <w:t xml:space="preserve"> czy </w:t>
      </w:r>
      <w:bookmarkStart w:id="0" w:name="_Hlk179967200"/>
      <w:r w:rsidRPr="006D3B20">
        <w:rPr>
          <w:rFonts w:ascii="Arial" w:hAnsi="Arial" w:cs="Arial"/>
        </w:rPr>
        <w:t>zgłoszenie dotyczy naruszeń prawa w dziedzinie należącej do zakresu działania tego organu</w:t>
      </w:r>
      <w:bookmarkEnd w:id="0"/>
      <w:r w:rsidRPr="006D3B20">
        <w:rPr>
          <w:rFonts w:ascii="Arial" w:hAnsi="Arial" w:cs="Arial"/>
        </w:rPr>
        <w:t xml:space="preserve">, a jeżeli nie należy </w:t>
      </w:r>
      <w:r>
        <w:rPr>
          <w:rFonts w:ascii="Arial" w:hAnsi="Arial" w:cs="Arial"/>
        </w:rPr>
        <w:t>- ustalenia</w:t>
      </w:r>
      <w:r w:rsidRPr="006D3B20">
        <w:rPr>
          <w:rFonts w:ascii="Arial" w:hAnsi="Arial" w:cs="Arial"/>
        </w:rPr>
        <w:t xml:space="preserve"> organu publicznego właściwego do podjęcia działań następczych</w:t>
      </w:r>
      <w:r>
        <w:rPr>
          <w:rFonts w:ascii="Arial" w:hAnsi="Arial" w:cs="Arial"/>
        </w:rPr>
        <w:t xml:space="preserve"> </w:t>
      </w:r>
      <w:r w:rsidRPr="00B34E99">
        <w:rPr>
          <w:rFonts w:ascii="Arial" w:hAnsi="Arial" w:cs="Arial"/>
        </w:rPr>
        <w:t>dokonuje powołan</w:t>
      </w:r>
      <w:r>
        <w:rPr>
          <w:rFonts w:ascii="Arial" w:hAnsi="Arial" w:cs="Arial"/>
        </w:rPr>
        <w:t>y</w:t>
      </w:r>
      <w:r w:rsidRPr="00B34E99">
        <w:rPr>
          <w:rFonts w:ascii="Arial" w:hAnsi="Arial" w:cs="Arial"/>
        </w:rPr>
        <w:t xml:space="preserve"> </w:t>
      </w:r>
      <w:r>
        <w:rPr>
          <w:rFonts w:ascii="Arial" w:hAnsi="Arial" w:cs="Arial"/>
        </w:rPr>
        <w:t xml:space="preserve">zespół. </w:t>
      </w:r>
    </w:p>
    <w:p w14:paraId="75D5649E" w14:textId="01912080" w:rsidR="009576B7" w:rsidRDefault="009576B7" w:rsidP="000E4487">
      <w:pPr>
        <w:pStyle w:val="Akapitzlist"/>
        <w:numPr>
          <w:ilvl w:val="0"/>
          <w:numId w:val="13"/>
        </w:numPr>
        <w:spacing w:after="0" w:line="360" w:lineRule="auto"/>
        <w:ind w:left="284" w:hanging="284"/>
        <w:contextualSpacing w:val="0"/>
        <w:jc w:val="both"/>
        <w:rPr>
          <w:rFonts w:ascii="Arial" w:hAnsi="Arial" w:cs="Arial"/>
        </w:rPr>
      </w:pPr>
      <w:r>
        <w:rPr>
          <w:rFonts w:ascii="Arial" w:hAnsi="Arial" w:cs="Arial"/>
        </w:rPr>
        <w:t>W przypadku, gdy</w:t>
      </w:r>
      <w:r w:rsidRPr="009576B7">
        <w:rPr>
          <w:rFonts w:ascii="Arial" w:hAnsi="Arial" w:cs="Arial"/>
        </w:rPr>
        <w:t xml:space="preserve"> </w:t>
      </w:r>
      <w:r w:rsidRPr="006D3B20">
        <w:rPr>
          <w:rFonts w:ascii="Arial" w:hAnsi="Arial" w:cs="Arial"/>
        </w:rPr>
        <w:t xml:space="preserve">zgłoszenie dotyczy naruszeń prawa w dziedzinie </w:t>
      </w:r>
      <w:r>
        <w:rPr>
          <w:rFonts w:ascii="Arial" w:hAnsi="Arial" w:cs="Arial"/>
        </w:rPr>
        <w:t>nie</w:t>
      </w:r>
      <w:r w:rsidRPr="006D3B20">
        <w:rPr>
          <w:rFonts w:ascii="Arial" w:hAnsi="Arial" w:cs="Arial"/>
        </w:rPr>
        <w:t xml:space="preserve">należącej do zakresu działania tego organu, </w:t>
      </w:r>
      <w:r>
        <w:rPr>
          <w:rFonts w:ascii="Arial" w:hAnsi="Arial" w:cs="Arial"/>
        </w:rPr>
        <w:t>jest przekazane do</w:t>
      </w:r>
      <w:r w:rsidRPr="006D3B20">
        <w:rPr>
          <w:rFonts w:ascii="Arial" w:hAnsi="Arial" w:cs="Arial"/>
        </w:rPr>
        <w:t xml:space="preserve"> organu publicznego właściwego do podjęcia działań następczych</w:t>
      </w:r>
      <w:r>
        <w:rPr>
          <w:rFonts w:ascii="Arial" w:hAnsi="Arial" w:cs="Arial"/>
        </w:rPr>
        <w:t>.</w:t>
      </w:r>
    </w:p>
    <w:p w14:paraId="38089540" w14:textId="77777777" w:rsidR="009576B7" w:rsidRDefault="009576B7" w:rsidP="000E4487">
      <w:pPr>
        <w:pStyle w:val="Akapitzlist"/>
        <w:numPr>
          <w:ilvl w:val="0"/>
          <w:numId w:val="13"/>
        </w:numPr>
        <w:spacing w:after="0" w:line="360" w:lineRule="auto"/>
        <w:ind w:left="284" w:hanging="284"/>
        <w:contextualSpacing w:val="0"/>
        <w:jc w:val="both"/>
        <w:rPr>
          <w:rFonts w:ascii="Arial" w:hAnsi="Arial" w:cs="Arial"/>
        </w:rPr>
      </w:pPr>
      <w:r>
        <w:rPr>
          <w:rFonts w:ascii="Arial" w:hAnsi="Arial" w:cs="Arial"/>
        </w:rPr>
        <w:t xml:space="preserve">W przypadku, gdy </w:t>
      </w:r>
      <w:r w:rsidRPr="006D3B20">
        <w:rPr>
          <w:rFonts w:ascii="Arial" w:hAnsi="Arial" w:cs="Arial"/>
        </w:rPr>
        <w:t>zgłoszenie dotyczy naruszeń prawa w dziedzinie należącej do zakresu działania tego organu</w:t>
      </w:r>
      <w:r w:rsidRPr="00B34E99">
        <w:rPr>
          <w:rFonts w:ascii="Arial" w:hAnsi="Arial" w:cs="Arial"/>
        </w:rPr>
        <w:t xml:space="preserve"> </w:t>
      </w:r>
      <w:r>
        <w:rPr>
          <w:rFonts w:ascii="Arial" w:hAnsi="Arial" w:cs="Arial"/>
        </w:rPr>
        <w:t>jest</w:t>
      </w:r>
      <w:r w:rsidRPr="009576B7">
        <w:rPr>
          <w:rFonts w:ascii="Arial" w:hAnsi="Arial" w:cs="Arial"/>
        </w:rPr>
        <w:t xml:space="preserve"> rozpatrywane zgodnie z „Wewnętrzną procedurą dokonywania zgłoszeń naruszeń prawa i  podejmowania działań następczych w Powiatowym Centrum Pomocy Rodzinie w Bielsku-Białej”.</w:t>
      </w:r>
    </w:p>
    <w:p w14:paraId="33E7BAB5" w14:textId="26589248" w:rsidR="009576B7" w:rsidRPr="009576B7" w:rsidRDefault="009576B7" w:rsidP="000E4487">
      <w:pPr>
        <w:pStyle w:val="Akapitzlist"/>
        <w:numPr>
          <w:ilvl w:val="0"/>
          <w:numId w:val="13"/>
        </w:numPr>
        <w:spacing w:after="0" w:line="360" w:lineRule="auto"/>
        <w:ind w:left="284" w:hanging="284"/>
        <w:contextualSpacing w:val="0"/>
        <w:jc w:val="both"/>
        <w:rPr>
          <w:rFonts w:ascii="Arial" w:hAnsi="Arial" w:cs="Arial"/>
        </w:rPr>
      </w:pPr>
      <w:r w:rsidRPr="009576B7">
        <w:rPr>
          <w:rFonts w:ascii="Arial" w:hAnsi="Arial" w:cs="Arial"/>
        </w:rPr>
        <w:t xml:space="preserve">W uzasadnionych przypadkach informacja zwrotna może być przekazana sygnaliście </w:t>
      </w:r>
      <w:r w:rsidR="00BB4F44">
        <w:rPr>
          <w:rFonts w:ascii="Arial" w:hAnsi="Arial" w:cs="Arial"/>
        </w:rPr>
        <w:br/>
      </w:r>
      <w:r w:rsidRPr="009576B7">
        <w:rPr>
          <w:rFonts w:ascii="Arial" w:hAnsi="Arial" w:cs="Arial"/>
        </w:rPr>
        <w:t xml:space="preserve">w terminie nieprzekraczającym 6 miesięcy od dnia przyjęcia zgłoszenia zewnętrznego, po poinformowaniu o tym sygnalisty przed upływem 3 miesięcy od dnia przyjęcie zgłoszenia zewnętrznego. </w:t>
      </w:r>
    </w:p>
    <w:p w14:paraId="2D8FD1E8" w14:textId="77777777" w:rsidR="009576B7" w:rsidRDefault="00C05481" w:rsidP="000E4487">
      <w:pPr>
        <w:pStyle w:val="Akapitzlist"/>
        <w:numPr>
          <w:ilvl w:val="0"/>
          <w:numId w:val="13"/>
        </w:numPr>
        <w:spacing w:after="0" w:line="360" w:lineRule="auto"/>
        <w:ind w:left="284" w:hanging="284"/>
        <w:contextualSpacing w:val="0"/>
        <w:jc w:val="both"/>
        <w:rPr>
          <w:rFonts w:ascii="Arial" w:hAnsi="Arial" w:cs="Arial"/>
        </w:rPr>
      </w:pPr>
      <w:r w:rsidRPr="009576B7">
        <w:rPr>
          <w:rFonts w:ascii="Arial" w:hAnsi="Arial" w:cs="Arial"/>
        </w:rPr>
        <w:t>Zespół może nie podjąć działań następczych w przypadku, gdy w zgłoszeniu zewnętrznym dotyczącym sprawy będącej już przedmiotem wcześniejszego zgłoszenia przez tego samego lub innego sygnalistę nie zawarto istotnych nowych informacji na temat naruszeń prawa w porównaniu z wcześniejszym zgłoszeniem zewnętrznym. Organ publiczny informuje sygnalistę o niepodjęciu działań następczych, podając uzasadnienie, a w razie kolejnego zgłoszenia – pozostawia je bez rozpoznania i nie informuje o tym sygnalisty. Fakt ten wraz z uzasadnieniem odnotowuje się wraz z uzasadnieniem w rejestrze.</w:t>
      </w:r>
    </w:p>
    <w:p w14:paraId="4B8BD13D" w14:textId="77777777" w:rsidR="000E4487" w:rsidRDefault="000E4487" w:rsidP="000E4487">
      <w:pPr>
        <w:spacing w:after="0" w:line="360" w:lineRule="auto"/>
        <w:jc w:val="center"/>
        <w:rPr>
          <w:rFonts w:ascii="Arial" w:hAnsi="Arial" w:cs="Arial"/>
          <w:b/>
          <w:bCs/>
          <w:color w:val="4472C4" w:themeColor="accent1"/>
        </w:rPr>
      </w:pPr>
    </w:p>
    <w:p w14:paraId="1E4FB98D" w14:textId="6B58DFBA" w:rsidR="00F50C83" w:rsidRPr="00F50C83" w:rsidRDefault="00F50C83" w:rsidP="000E4487">
      <w:pPr>
        <w:spacing w:after="0" w:line="360" w:lineRule="auto"/>
        <w:jc w:val="center"/>
        <w:rPr>
          <w:rFonts w:ascii="Arial" w:hAnsi="Arial" w:cs="Arial"/>
          <w:b/>
          <w:bCs/>
          <w:color w:val="4472C4" w:themeColor="accent1"/>
        </w:rPr>
      </w:pPr>
      <w:r>
        <w:rPr>
          <w:rFonts w:ascii="Arial" w:hAnsi="Arial" w:cs="Arial"/>
          <w:b/>
          <w:bCs/>
          <w:color w:val="4472C4" w:themeColor="accent1"/>
        </w:rPr>
        <w:t>R</w:t>
      </w:r>
      <w:r w:rsidRPr="00F50C83">
        <w:rPr>
          <w:rFonts w:ascii="Arial" w:hAnsi="Arial" w:cs="Arial"/>
          <w:b/>
          <w:bCs/>
          <w:color w:val="4472C4" w:themeColor="accent1"/>
        </w:rPr>
        <w:t xml:space="preserve">ejestr zgłoszeń </w:t>
      </w:r>
      <w:r>
        <w:rPr>
          <w:rFonts w:ascii="Arial" w:hAnsi="Arial" w:cs="Arial"/>
          <w:b/>
          <w:bCs/>
          <w:color w:val="4472C4" w:themeColor="accent1"/>
        </w:rPr>
        <w:t>z</w:t>
      </w:r>
      <w:r w:rsidRPr="00F50C83">
        <w:rPr>
          <w:rFonts w:ascii="Arial" w:hAnsi="Arial" w:cs="Arial"/>
          <w:b/>
          <w:bCs/>
          <w:color w:val="4472C4" w:themeColor="accent1"/>
        </w:rPr>
        <w:t>ewnętrznych</w:t>
      </w:r>
    </w:p>
    <w:p w14:paraId="0ED543DC" w14:textId="1DE599B8" w:rsidR="00F50C83" w:rsidRPr="00010BE8" w:rsidRDefault="00F50C83" w:rsidP="000E4487">
      <w:pPr>
        <w:spacing w:after="0" w:line="360" w:lineRule="auto"/>
        <w:jc w:val="center"/>
        <w:rPr>
          <w:rFonts w:ascii="Arial" w:hAnsi="Arial" w:cs="Arial"/>
          <w:b/>
          <w:bCs/>
          <w:color w:val="4472C4" w:themeColor="accent1"/>
        </w:rPr>
      </w:pPr>
      <w:r w:rsidRPr="00010BE8">
        <w:rPr>
          <w:rFonts w:ascii="Arial" w:hAnsi="Arial" w:cs="Arial"/>
          <w:b/>
          <w:bCs/>
          <w:color w:val="4472C4" w:themeColor="accent1"/>
        </w:rPr>
        <w:t xml:space="preserve">§ </w:t>
      </w:r>
      <w:r w:rsidR="00DC6D30">
        <w:rPr>
          <w:rFonts w:ascii="Arial" w:hAnsi="Arial" w:cs="Arial"/>
          <w:b/>
          <w:bCs/>
          <w:color w:val="4472C4" w:themeColor="accent1"/>
        </w:rPr>
        <w:t>7</w:t>
      </w:r>
    </w:p>
    <w:p w14:paraId="58A74196" w14:textId="7EBFE903" w:rsidR="00F50C83" w:rsidRDefault="00F50C83" w:rsidP="000E4487">
      <w:pPr>
        <w:pStyle w:val="Akapitzlist"/>
        <w:numPr>
          <w:ilvl w:val="0"/>
          <w:numId w:val="19"/>
        </w:numPr>
        <w:spacing w:after="0" w:line="360" w:lineRule="auto"/>
        <w:ind w:left="284" w:hanging="284"/>
        <w:contextualSpacing w:val="0"/>
        <w:jc w:val="both"/>
        <w:rPr>
          <w:rFonts w:ascii="Arial" w:hAnsi="Arial" w:cs="Arial"/>
        </w:rPr>
      </w:pPr>
      <w:r>
        <w:rPr>
          <w:rFonts w:ascii="Arial" w:hAnsi="Arial" w:cs="Arial"/>
        </w:rPr>
        <w:t xml:space="preserve">Zgłoszenia są wpisywane do rejestru zgłoszeń </w:t>
      </w:r>
      <w:r w:rsidR="00BB4F44">
        <w:rPr>
          <w:rFonts w:ascii="Arial" w:hAnsi="Arial" w:cs="Arial"/>
        </w:rPr>
        <w:t>z</w:t>
      </w:r>
      <w:r>
        <w:rPr>
          <w:rFonts w:ascii="Arial" w:hAnsi="Arial" w:cs="Arial"/>
        </w:rPr>
        <w:t>ewnętrznych</w:t>
      </w:r>
      <w:r w:rsidR="00BB4F44">
        <w:rPr>
          <w:rFonts w:ascii="Arial" w:hAnsi="Arial" w:cs="Arial"/>
        </w:rPr>
        <w:t>.</w:t>
      </w:r>
    </w:p>
    <w:p w14:paraId="5C5AB51B" w14:textId="77777777" w:rsidR="00F50C83" w:rsidRDefault="00F50C83" w:rsidP="000E4487">
      <w:pPr>
        <w:pStyle w:val="Akapitzlist"/>
        <w:numPr>
          <w:ilvl w:val="0"/>
          <w:numId w:val="19"/>
        </w:numPr>
        <w:spacing w:after="0" w:line="360" w:lineRule="auto"/>
        <w:ind w:left="284" w:hanging="284"/>
        <w:contextualSpacing w:val="0"/>
        <w:jc w:val="both"/>
        <w:rPr>
          <w:rFonts w:ascii="Arial" w:hAnsi="Arial" w:cs="Arial"/>
        </w:rPr>
      </w:pPr>
      <w:r>
        <w:rPr>
          <w:rFonts w:ascii="Arial" w:hAnsi="Arial" w:cs="Arial"/>
        </w:rPr>
        <w:t>Dostęp do rejestru posiadają:</w:t>
      </w:r>
    </w:p>
    <w:p w14:paraId="1EE2A154" w14:textId="77777777" w:rsidR="00F50C83" w:rsidRDefault="00F50C83" w:rsidP="000E4487">
      <w:pPr>
        <w:pStyle w:val="Akapitzlist"/>
        <w:numPr>
          <w:ilvl w:val="1"/>
          <w:numId w:val="16"/>
        </w:numPr>
        <w:tabs>
          <w:tab w:val="left" w:pos="567"/>
        </w:tabs>
        <w:spacing w:after="0" w:line="360" w:lineRule="auto"/>
        <w:ind w:left="284" w:firstLine="0"/>
        <w:contextualSpacing w:val="0"/>
        <w:jc w:val="both"/>
        <w:rPr>
          <w:rFonts w:ascii="Arial" w:hAnsi="Arial" w:cs="Arial"/>
        </w:rPr>
      </w:pPr>
      <w:r>
        <w:rPr>
          <w:rFonts w:ascii="Arial" w:hAnsi="Arial" w:cs="Arial"/>
        </w:rPr>
        <w:t>osoby upoważnione do przyjmowania zgłoszeń,</w:t>
      </w:r>
    </w:p>
    <w:p w14:paraId="7753E928" w14:textId="77777777" w:rsidR="00F50C83" w:rsidRDefault="00F50C83" w:rsidP="000E4487">
      <w:pPr>
        <w:pStyle w:val="Akapitzlist"/>
        <w:numPr>
          <w:ilvl w:val="1"/>
          <w:numId w:val="16"/>
        </w:numPr>
        <w:tabs>
          <w:tab w:val="left" w:pos="567"/>
        </w:tabs>
        <w:spacing w:after="0" w:line="360" w:lineRule="auto"/>
        <w:ind w:left="284" w:firstLine="0"/>
        <w:contextualSpacing w:val="0"/>
        <w:jc w:val="both"/>
        <w:rPr>
          <w:rFonts w:ascii="Arial" w:hAnsi="Arial" w:cs="Arial"/>
        </w:rPr>
      </w:pPr>
      <w:r>
        <w:rPr>
          <w:rFonts w:ascii="Arial" w:hAnsi="Arial" w:cs="Arial"/>
        </w:rPr>
        <w:t>zespół – w zakresie niezbędnym do realizowania wyznaczonych zadań.</w:t>
      </w:r>
    </w:p>
    <w:p w14:paraId="5938C396" w14:textId="7EEE67E1" w:rsidR="00F50C83" w:rsidRPr="00F50C83" w:rsidRDefault="00F50C83" w:rsidP="000E4487">
      <w:pPr>
        <w:pStyle w:val="Akapitzlist"/>
        <w:numPr>
          <w:ilvl w:val="0"/>
          <w:numId w:val="19"/>
        </w:numPr>
        <w:spacing w:after="0" w:line="360" w:lineRule="auto"/>
        <w:ind w:left="284" w:hanging="284"/>
        <w:contextualSpacing w:val="0"/>
        <w:jc w:val="both"/>
        <w:rPr>
          <w:rFonts w:ascii="Arial" w:hAnsi="Arial" w:cs="Arial"/>
        </w:rPr>
      </w:pPr>
      <w:r w:rsidRPr="00F50C83">
        <w:rPr>
          <w:rFonts w:ascii="Arial" w:hAnsi="Arial" w:cs="Arial"/>
        </w:rPr>
        <w:t xml:space="preserve">W przypadku zgłoszeń niepodlegających rozpatrzeniu według procedury, do rejestru wpisuje się informację o przekazaniu zgłoszenia wg właściwości (kiedy i komu) lub </w:t>
      </w:r>
      <w:r w:rsidRPr="00F50C83">
        <w:rPr>
          <w:rFonts w:ascii="Arial" w:hAnsi="Arial" w:cs="Arial"/>
        </w:rPr>
        <w:br/>
        <w:t>o pozostawieniu bez rozpatrzenia, z podaniem przyczyny.</w:t>
      </w:r>
    </w:p>
    <w:p w14:paraId="69AB0456" w14:textId="77777777" w:rsidR="000E4487" w:rsidRDefault="000E4487" w:rsidP="000E4487">
      <w:pPr>
        <w:spacing w:after="0" w:line="360" w:lineRule="auto"/>
        <w:jc w:val="center"/>
        <w:rPr>
          <w:rFonts w:ascii="Arial" w:hAnsi="Arial" w:cs="Arial"/>
          <w:b/>
          <w:bCs/>
          <w:color w:val="4472C4" w:themeColor="accent1"/>
        </w:rPr>
      </w:pPr>
    </w:p>
    <w:p w14:paraId="5BE5BA5D" w14:textId="77777777" w:rsidR="004A3EF0" w:rsidRDefault="004A3EF0" w:rsidP="000E4487">
      <w:pPr>
        <w:spacing w:after="0" w:line="360" w:lineRule="auto"/>
        <w:jc w:val="center"/>
        <w:rPr>
          <w:rFonts w:ascii="Arial" w:hAnsi="Arial" w:cs="Arial"/>
          <w:b/>
          <w:bCs/>
          <w:color w:val="4472C4" w:themeColor="accent1"/>
        </w:rPr>
      </w:pPr>
    </w:p>
    <w:p w14:paraId="7A0FC520" w14:textId="77777777" w:rsidR="004A3EF0" w:rsidRDefault="004A3EF0" w:rsidP="000E4487">
      <w:pPr>
        <w:spacing w:after="0" w:line="360" w:lineRule="auto"/>
        <w:jc w:val="center"/>
        <w:rPr>
          <w:rFonts w:ascii="Arial" w:hAnsi="Arial" w:cs="Arial"/>
          <w:b/>
          <w:bCs/>
          <w:color w:val="4472C4" w:themeColor="accent1"/>
        </w:rPr>
      </w:pPr>
    </w:p>
    <w:p w14:paraId="073109E1" w14:textId="77777777" w:rsidR="004A3EF0" w:rsidRDefault="004A3EF0" w:rsidP="000E4487">
      <w:pPr>
        <w:spacing w:after="0" w:line="360" w:lineRule="auto"/>
        <w:jc w:val="center"/>
        <w:rPr>
          <w:rFonts w:ascii="Arial" w:hAnsi="Arial" w:cs="Arial"/>
          <w:b/>
          <w:bCs/>
          <w:color w:val="4472C4" w:themeColor="accent1"/>
        </w:rPr>
      </w:pPr>
    </w:p>
    <w:p w14:paraId="1A0DF9B0" w14:textId="404D1EFF" w:rsidR="00BB4F44" w:rsidRPr="00BB4F44" w:rsidRDefault="00BB4F44" w:rsidP="000E4487">
      <w:pPr>
        <w:spacing w:after="0" w:line="360" w:lineRule="auto"/>
        <w:jc w:val="center"/>
        <w:rPr>
          <w:rFonts w:ascii="Arial" w:hAnsi="Arial" w:cs="Arial"/>
          <w:b/>
          <w:bCs/>
          <w:color w:val="4472C4" w:themeColor="accent1"/>
        </w:rPr>
      </w:pPr>
      <w:r>
        <w:rPr>
          <w:rFonts w:ascii="Arial" w:hAnsi="Arial" w:cs="Arial"/>
          <w:b/>
          <w:bCs/>
          <w:color w:val="4472C4" w:themeColor="accent1"/>
        </w:rPr>
        <w:lastRenderedPageBreak/>
        <w:t>P</w:t>
      </w:r>
      <w:r w:rsidRPr="00BB4F44">
        <w:rPr>
          <w:rFonts w:ascii="Arial" w:hAnsi="Arial" w:cs="Arial"/>
          <w:b/>
          <w:bCs/>
          <w:color w:val="4472C4" w:themeColor="accent1"/>
        </w:rPr>
        <w:t>rawa i ochrona sygnalisty oraz osób zaangażowanych</w:t>
      </w:r>
    </w:p>
    <w:p w14:paraId="71B43B10" w14:textId="77777777" w:rsidR="00F50C83" w:rsidRDefault="00F50C83" w:rsidP="000E4487">
      <w:pPr>
        <w:spacing w:after="0" w:line="360" w:lineRule="auto"/>
        <w:jc w:val="center"/>
        <w:rPr>
          <w:rFonts w:ascii="Arial" w:hAnsi="Arial" w:cs="Arial"/>
          <w:b/>
          <w:bCs/>
          <w:color w:val="4472C4" w:themeColor="accent1"/>
        </w:rPr>
      </w:pPr>
      <w:r w:rsidRPr="00B34E99">
        <w:rPr>
          <w:rFonts w:ascii="Arial" w:hAnsi="Arial" w:cs="Arial"/>
          <w:b/>
          <w:bCs/>
          <w:color w:val="4472C4" w:themeColor="accent1"/>
        </w:rPr>
        <w:t xml:space="preserve">§ </w:t>
      </w:r>
      <w:r>
        <w:rPr>
          <w:rFonts w:ascii="Arial" w:hAnsi="Arial" w:cs="Arial"/>
          <w:b/>
          <w:bCs/>
          <w:color w:val="4472C4" w:themeColor="accent1"/>
        </w:rPr>
        <w:t xml:space="preserve">8 </w:t>
      </w:r>
    </w:p>
    <w:p w14:paraId="137630A8" w14:textId="77777777" w:rsidR="00F50C83" w:rsidRPr="00B34E99" w:rsidRDefault="00F50C83" w:rsidP="000E4487">
      <w:pPr>
        <w:pStyle w:val="Akapitzlist"/>
        <w:numPr>
          <w:ilvl w:val="0"/>
          <w:numId w:val="17"/>
        </w:numPr>
        <w:spacing w:after="0" w:line="360" w:lineRule="auto"/>
        <w:ind w:left="284"/>
        <w:contextualSpacing w:val="0"/>
        <w:jc w:val="both"/>
        <w:rPr>
          <w:rFonts w:ascii="Arial" w:hAnsi="Arial" w:cs="Arial"/>
        </w:rPr>
      </w:pPr>
      <w:r w:rsidRPr="00B34E99">
        <w:rPr>
          <w:rFonts w:ascii="Arial" w:hAnsi="Arial" w:cs="Arial"/>
        </w:rPr>
        <w:t>Dane osobowe sygnalisty pozwalające na ustalenie jego tożsamości oraz inne informacje, na podstawie których można bezpośrednio lub pośrednio zidentyfikować tożsamość sygnalisty nie podlegają ujawnieniu nieupoważnionym osobom, chyba że sygnalista wskaże inaczej i wyrazi zgodę na ujawnienie swojej tożsamości.</w:t>
      </w:r>
    </w:p>
    <w:p w14:paraId="383546D8" w14:textId="77777777" w:rsidR="00F50C83" w:rsidRPr="00B34E99" w:rsidRDefault="00F50C83" w:rsidP="000E4487">
      <w:pPr>
        <w:pStyle w:val="Akapitzlist"/>
        <w:numPr>
          <w:ilvl w:val="0"/>
          <w:numId w:val="17"/>
        </w:numPr>
        <w:spacing w:after="0" w:line="360" w:lineRule="auto"/>
        <w:ind w:left="284"/>
        <w:contextualSpacing w:val="0"/>
        <w:jc w:val="both"/>
        <w:rPr>
          <w:rFonts w:ascii="Arial" w:hAnsi="Arial" w:cs="Arial"/>
        </w:rPr>
      </w:pPr>
      <w:r>
        <w:rPr>
          <w:rFonts w:ascii="Arial" w:hAnsi="Arial" w:cs="Arial"/>
        </w:rPr>
        <w:t>Postanowienia</w:t>
      </w:r>
      <w:r w:rsidRPr="00B34E99">
        <w:rPr>
          <w:rFonts w:ascii="Arial" w:hAnsi="Arial" w:cs="Arial"/>
        </w:rPr>
        <w:t xml:space="preserve"> ust.1 stosuje się również do osoby pomagającej w dokonaniu zgłoszenia </w:t>
      </w:r>
      <w:r>
        <w:rPr>
          <w:rFonts w:ascii="Arial" w:hAnsi="Arial" w:cs="Arial"/>
        </w:rPr>
        <w:br/>
      </w:r>
      <w:r w:rsidRPr="00B34E99">
        <w:rPr>
          <w:rFonts w:ascii="Arial" w:hAnsi="Arial" w:cs="Arial"/>
        </w:rPr>
        <w:t>i powiązanej z sygnalistą.</w:t>
      </w:r>
    </w:p>
    <w:p w14:paraId="6EEB8D94" w14:textId="77777777" w:rsidR="00F50C83" w:rsidRPr="00B34E99" w:rsidRDefault="00F50C83" w:rsidP="000E4487">
      <w:pPr>
        <w:pStyle w:val="Akapitzlist"/>
        <w:numPr>
          <w:ilvl w:val="0"/>
          <w:numId w:val="17"/>
        </w:numPr>
        <w:spacing w:after="0" w:line="360" w:lineRule="auto"/>
        <w:ind w:left="284"/>
        <w:contextualSpacing w:val="0"/>
        <w:jc w:val="both"/>
        <w:rPr>
          <w:rFonts w:ascii="Arial" w:hAnsi="Arial" w:cs="Arial"/>
        </w:rPr>
      </w:pPr>
      <w:r w:rsidRPr="00B34E99">
        <w:rPr>
          <w:rFonts w:ascii="Arial" w:hAnsi="Arial" w:cs="Arial"/>
        </w:rPr>
        <w:t xml:space="preserve">Wobec sygnalisty, osoby pomagającej w dokonaniu zgłoszenia ani osoby powiązanej </w:t>
      </w:r>
      <w:r w:rsidRPr="00B34E99">
        <w:rPr>
          <w:rFonts w:ascii="Arial" w:hAnsi="Arial" w:cs="Arial"/>
        </w:rPr>
        <w:br/>
        <w:t>z sygnalistą nie mogą być podejmowan</w:t>
      </w:r>
      <w:r>
        <w:rPr>
          <w:rFonts w:ascii="Arial" w:hAnsi="Arial" w:cs="Arial"/>
        </w:rPr>
        <w:t>e działania</w:t>
      </w:r>
      <w:r w:rsidRPr="00B34E99">
        <w:rPr>
          <w:rFonts w:ascii="Arial" w:hAnsi="Arial" w:cs="Arial"/>
        </w:rPr>
        <w:t xml:space="preserve"> odwetowe.</w:t>
      </w:r>
    </w:p>
    <w:p w14:paraId="5DA3610C" w14:textId="77777777" w:rsidR="00F50C83" w:rsidRPr="00B34E99" w:rsidRDefault="00F50C83" w:rsidP="000E4487">
      <w:pPr>
        <w:pStyle w:val="Akapitzlist"/>
        <w:numPr>
          <w:ilvl w:val="0"/>
          <w:numId w:val="17"/>
        </w:numPr>
        <w:spacing w:after="0" w:line="360" w:lineRule="auto"/>
        <w:ind w:left="284"/>
        <w:contextualSpacing w:val="0"/>
        <w:jc w:val="both"/>
        <w:rPr>
          <w:rFonts w:ascii="Arial" w:hAnsi="Arial" w:cs="Arial"/>
        </w:rPr>
      </w:pPr>
      <w:r w:rsidRPr="00B34E99">
        <w:rPr>
          <w:rFonts w:ascii="Arial" w:hAnsi="Arial" w:cs="Arial"/>
        </w:rPr>
        <w:t xml:space="preserve">W przypadku podjęcia jakichkolwiek działań odwetowych przez Powiatowe Centrum Pomocy Rodzinie w Bielsku-Białej sygnaliście przysługuje odszkodowanie. O zaistniałej sytuacji sygnalista powinien niezwłocznie zawiadomić </w:t>
      </w:r>
      <w:r>
        <w:rPr>
          <w:rFonts w:ascii="Arial" w:hAnsi="Arial" w:cs="Arial"/>
        </w:rPr>
        <w:t>zespół</w:t>
      </w:r>
      <w:r w:rsidRPr="00B34E99">
        <w:rPr>
          <w:rFonts w:ascii="Arial" w:hAnsi="Arial" w:cs="Arial"/>
        </w:rPr>
        <w:t>.</w:t>
      </w:r>
    </w:p>
    <w:p w14:paraId="5FCEF3FB" w14:textId="77777777" w:rsidR="00F50C83" w:rsidRPr="00B34E99" w:rsidRDefault="00F50C83" w:rsidP="000E4487">
      <w:pPr>
        <w:pStyle w:val="Akapitzlist"/>
        <w:numPr>
          <w:ilvl w:val="0"/>
          <w:numId w:val="17"/>
        </w:numPr>
        <w:spacing w:after="0" w:line="360" w:lineRule="auto"/>
        <w:ind w:left="283" w:hanging="357"/>
        <w:contextualSpacing w:val="0"/>
        <w:jc w:val="both"/>
        <w:rPr>
          <w:rFonts w:ascii="Arial" w:hAnsi="Arial" w:cs="Arial"/>
        </w:rPr>
      </w:pPr>
      <w:r w:rsidRPr="00B34E99">
        <w:rPr>
          <w:rFonts w:ascii="Arial" w:hAnsi="Arial" w:cs="Arial"/>
        </w:rPr>
        <w:t>Dokonanie zgłoszenia nie może być podstawą do wszczęcia wobec sygnalisty postępowania dyscyplinarnego, odpowiedzialności za szkodę w przedmiocie zniesławienia, naruszenia dóbr osobistych, praw autorskich, przepisów o ochronie danych osobowych oraz obowiązku zachowania tajemnicy, pod warunkiem, że sygnalista miał uzasadnione podstawy by sądzić, że zgłoszenie lub ujawnienie publiczne jest niezbędne do ujawnienia naruszenia prawa</w:t>
      </w:r>
      <w:r>
        <w:rPr>
          <w:rFonts w:ascii="Arial" w:hAnsi="Arial" w:cs="Arial"/>
        </w:rPr>
        <w:t>.</w:t>
      </w:r>
    </w:p>
    <w:p w14:paraId="3075DDCB" w14:textId="77777777" w:rsidR="000E4487" w:rsidRDefault="000E4487" w:rsidP="000E4487">
      <w:pPr>
        <w:spacing w:after="0" w:line="360" w:lineRule="auto"/>
        <w:jc w:val="center"/>
        <w:rPr>
          <w:rFonts w:ascii="Arial" w:hAnsi="Arial" w:cs="Arial"/>
          <w:b/>
          <w:bCs/>
          <w:color w:val="4472C4" w:themeColor="accent1"/>
        </w:rPr>
      </w:pPr>
    </w:p>
    <w:p w14:paraId="0D916D55" w14:textId="4DE6F5F0" w:rsidR="00BB4F44" w:rsidRPr="00BB4F44" w:rsidRDefault="00BB4F44" w:rsidP="000E4487">
      <w:pPr>
        <w:spacing w:after="0" w:line="360" w:lineRule="auto"/>
        <w:jc w:val="center"/>
        <w:rPr>
          <w:rFonts w:ascii="Arial" w:hAnsi="Arial" w:cs="Arial"/>
          <w:b/>
          <w:bCs/>
          <w:color w:val="4472C4" w:themeColor="accent1"/>
        </w:rPr>
      </w:pPr>
      <w:r w:rsidRPr="00BB4F44">
        <w:rPr>
          <w:rFonts w:ascii="Arial" w:hAnsi="Arial" w:cs="Arial"/>
          <w:b/>
          <w:bCs/>
          <w:color w:val="4472C4" w:themeColor="accent1"/>
        </w:rPr>
        <w:t>Obowiązek informacyjny</w:t>
      </w:r>
    </w:p>
    <w:p w14:paraId="2172D03B" w14:textId="77777777" w:rsidR="00F50C83" w:rsidRDefault="00F50C83" w:rsidP="000E4487">
      <w:pPr>
        <w:spacing w:after="0" w:line="360" w:lineRule="auto"/>
        <w:jc w:val="center"/>
        <w:rPr>
          <w:rFonts w:ascii="Arial" w:hAnsi="Arial" w:cs="Arial"/>
          <w:b/>
          <w:bCs/>
          <w:color w:val="4472C4" w:themeColor="accent1"/>
        </w:rPr>
      </w:pPr>
      <w:r w:rsidRPr="00B34E99">
        <w:rPr>
          <w:rFonts w:ascii="Arial" w:hAnsi="Arial" w:cs="Arial"/>
          <w:b/>
          <w:bCs/>
          <w:color w:val="4472C4" w:themeColor="accent1"/>
        </w:rPr>
        <w:t xml:space="preserve">§ </w:t>
      </w:r>
      <w:r>
        <w:rPr>
          <w:rFonts w:ascii="Arial" w:hAnsi="Arial" w:cs="Arial"/>
          <w:b/>
          <w:bCs/>
          <w:color w:val="4472C4" w:themeColor="accent1"/>
        </w:rPr>
        <w:t>9</w:t>
      </w:r>
      <w:r w:rsidRPr="00B34E99">
        <w:rPr>
          <w:rFonts w:ascii="Arial" w:hAnsi="Arial" w:cs="Arial"/>
          <w:b/>
          <w:bCs/>
          <w:color w:val="4472C4" w:themeColor="accent1"/>
        </w:rPr>
        <w:t xml:space="preserve"> </w:t>
      </w:r>
    </w:p>
    <w:p w14:paraId="6086B104" w14:textId="77777777" w:rsidR="00F50C83" w:rsidRPr="00B34E99" w:rsidRDefault="00F50C83" w:rsidP="000E4487">
      <w:pPr>
        <w:spacing w:after="0" w:line="360" w:lineRule="auto"/>
        <w:jc w:val="both"/>
        <w:outlineLvl w:val="3"/>
        <w:rPr>
          <w:rFonts w:ascii="Arial" w:eastAsia="Times New Roman" w:hAnsi="Arial" w:cs="Arial"/>
          <w:kern w:val="0"/>
          <w:lang w:eastAsia="pl-PL"/>
          <w14:ligatures w14:val="none"/>
        </w:rPr>
      </w:pPr>
      <w:r w:rsidRPr="00B34E99">
        <w:rPr>
          <w:rFonts w:ascii="Arial" w:eastAsia="Times New Roman" w:hAnsi="Arial" w:cs="Arial"/>
          <w:kern w:val="0"/>
          <w:lang w:eastAsia="pl-PL"/>
          <w14:ligatures w14:val="none"/>
        </w:rPr>
        <w:t xml:space="preserve">W związku z przetwarzaniem danych osobowych informujemy,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Arial" w:eastAsia="Times New Roman" w:hAnsi="Arial" w:cs="Arial"/>
          <w:kern w:val="0"/>
          <w:lang w:eastAsia="pl-PL"/>
          <w14:ligatures w14:val="none"/>
        </w:rPr>
        <w:br/>
      </w:r>
      <w:r w:rsidRPr="00B34E99">
        <w:rPr>
          <w:rFonts w:ascii="Arial" w:eastAsia="Times New Roman" w:hAnsi="Arial" w:cs="Arial"/>
          <w:kern w:val="0"/>
          <w:lang w:eastAsia="pl-PL"/>
          <w14:ligatures w14:val="none"/>
        </w:rPr>
        <w:t>o Ochronie Danych Osobowych – RODO), iż:</w:t>
      </w:r>
    </w:p>
    <w:p w14:paraId="2A41C2FE" w14:textId="77777777" w:rsidR="00F50C83" w:rsidRPr="00B34E99"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sidRPr="00B34E99">
        <w:rPr>
          <w:rFonts w:ascii="Arial" w:eastAsia="Times New Roman" w:hAnsi="Arial" w:cs="Arial"/>
          <w:kern w:val="0"/>
          <w:lang w:eastAsia="pl-PL"/>
          <w14:ligatures w14:val="none"/>
        </w:rPr>
        <w:t xml:space="preserve">Administratorem danych osobowych jest Powiatowe Centrum Pomocy Rodzinie w Bielsku-Białej (PCPR), ul. Piastowska 40, 43-300 Bielsko-Biała. Nr tel. 33/81-36-930. Adres e-mail: </w:t>
      </w:r>
      <w:hyperlink r:id="rId5" w:history="1">
        <w:r w:rsidRPr="00B34E99">
          <w:rPr>
            <w:rStyle w:val="Hipercze"/>
            <w:rFonts w:ascii="Arial" w:eastAsia="Times New Roman" w:hAnsi="Arial" w:cs="Arial"/>
            <w:kern w:val="0"/>
            <w:lang w:eastAsia="pl-PL"/>
            <w14:ligatures w14:val="none"/>
          </w:rPr>
          <w:t>pcpr@starostwo.bielsko.pl</w:t>
        </w:r>
      </w:hyperlink>
    </w:p>
    <w:p w14:paraId="37E24A43" w14:textId="77777777" w:rsidR="00F50C83" w:rsidRPr="00C17BA5"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sidRPr="00B34E99">
        <w:rPr>
          <w:rFonts w:ascii="Arial" w:eastAsia="Times New Roman" w:hAnsi="Arial" w:cs="Arial"/>
          <w:kern w:val="0"/>
          <w:lang w:eastAsia="pl-PL"/>
          <w14:ligatures w14:val="none"/>
        </w:rPr>
        <w:t xml:space="preserve">Administrator wyznaczył Inspektora Ochrony Danych, z którym można się kontaktować </w:t>
      </w:r>
      <w:r w:rsidRPr="00B34E99">
        <w:rPr>
          <w:rFonts w:ascii="Arial" w:eastAsia="Times New Roman" w:hAnsi="Arial" w:cs="Arial"/>
          <w:kern w:val="0"/>
          <w:lang w:eastAsia="pl-PL"/>
          <w14:ligatures w14:val="none"/>
        </w:rPr>
        <w:br/>
        <w:t xml:space="preserve">w sprawach przetwarzania danych osobowych za pośrednictwem poczty elektronicznej pod adresem: </w:t>
      </w:r>
      <w:hyperlink r:id="rId6" w:history="1">
        <w:r w:rsidRPr="00FB3746">
          <w:rPr>
            <w:rStyle w:val="Hipercze"/>
            <w:rFonts w:ascii="Arial" w:eastAsia="Times New Roman" w:hAnsi="Arial" w:cs="Arial"/>
            <w:kern w:val="0"/>
            <w:lang w:eastAsia="pl-PL"/>
            <w14:ligatures w14:val="none"/>
          </w:rPr>
          <w:t>iodpcpr@starostwo.bielsko.pl</w:t>
        </w:r>
      </w:hyperlink>
      <w:r>
        <w:rPr>
          <w:rFonts w:ascii="Arial" w:eastAsia="Times New Roman" w:hAnsi="Arial" w:cs="Arial"/>
          <w:kern w:val="0"/>
          <w:lang w:eastAsia="pl-PL"/>
          <w14:ligatures w14:val="none"/>
        </w:rPr>
        <w:t xml:space="preserve"> </w:t>
      </w:r>
      <w:r w:rsidRPr="00C17BA5">
        <w:rPr>
          <w:rFonts w:ascii="Arial" w:eastAsia="Times New Roman" w:hAnsi="Arial" w:cs="Arial"/>
          <w:kern w:val="0"/>
          <w:lang w:eastAsia="pl-PL"/>
          <w14:ligatures w14:val="none"/>
        </w:rPr>
        <w:t xml:space="preserve">oraz za pośrednictwem poczty tradycyjnej kierując korespondencję na adres Administratora danych z dopiskiem „Inspektor Ochrony Danych”. </w:t>
      </w:r>
    </w:p>
    <w:p w14:paraId="7F47CAD2" w14:textId="77777777" w:rsidR="00F50C83"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D</w:t>
      </w:r>
      <w:r w:rsidRPr="00B34E99">
        <w:rPr>
          <w:rFonts w:ascii="Arial" w:eastAsia="Times New Roman" w:hAnsi="Arial" w:cs="Arial"/>
          <w:kern w:val="0"/>
          <w:lang w:eastAsia="pl-PL"/>
          <w14:ligatures w14:val="none"/>
        </w:rPr>
        <w:t xml:space="preserve">ane osobowe będą przetwarzane w zakresie niezbędnym do przyjęcia zgłoszenia lub podjęcia </w:t>
      </w:r>
      <w:r w:rsidRPr="00A045E6">
        <w:rPr>
          <w:rFonts w:ascii="Arial" w:eastAsia="Times New Roman" w:hAnsi="Arial" w:cs="Arial"/>
          <w:kern w:val="0"/>
          <w:lang w:eastAsia="pl-PL"/>
          <w14:ligatures w14:val="none"/>
        </w:rPr>
        <w:t xml:space="preserve">ewentualnego działania następczego. Przetwarzanie to będzie miało miejsce na podstawie obowiązku prawnego, który wynika z ustawy z dnia 14 czerwca 2024 r. </w:t>
      </w:r>
      <w:r w:rsidRPr="00A045E6">
        <w:rPr>
          <w:rFonts w:ascii="Arial" w:eastAsia="Times New Roman" w:hAnsi="Arial" w:cs="Arial"/>
          <w:kern w:val="0"/>
          <w:lang w:eastAsia="pl-PL"/>
          <w14:ligatures w14:val="none"/>
        </w:rPr>
        <w:br/>
      </w:r>
      <w:r w:rsidRPr="00A045E6">
        <w:rPr>
          <w:rFonts w:ascii="Arial" w:eastAsia="Times New Roman" w:hAnsi="Arial" w:cs="Arial"/>
          <w:kern w:val="0"/>
          <w:lang w:eastAsia="pl-PL"/>
          <w14:ligatures w14:val="none"/>
        </w:rPr>
        <w:lastRenderedPageBreak/>
        <w:t xml:space="preserve">o ochronie sygnalistów, zgodnie z art. 6 ust. 1 lit. c) RODO. Może również nastąpić na podstawie prawnie uzasadnionego interesu administratora danych, którym jest przyjmowanie, weryfikowanie oraz wyjaśnianie zgłoszeń naruszeń prawa, zgodnie z art. 6 ust. 1 lit. f) RODO. W przypadku, gdy osoba dokonująca zgłoszenia wyrazi dobrowolną zgodę i nie zdecyduje się na zachowanie anonimowości, dane będą przetwarzane zgodnie z art. 6 ust. 1 lit. a) RODO. </w:t>
      </w:r>
    </w:p>
    <w:p w14:paraId="003CDC5E" w14:textId="77777777" w:rsidR="00F50C83" w:rsidRPr="00B34E99"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Dostęp do danych mogą mieć podmioty zewnętrzne świadczące usługi na rzecz PCPR </w:t>
      </w:r>
      <w:r>
        <w:rPr>
          <w:rFonts w:ascii="Arial" w:eastAsia="Times New Roman" w:hAnsi="Arial" w:cs="Arial"/>
          <w:kern w:val="0"/>
          <w:lang w:eastAsia="pl-PL"/>
          <w14:ligatures w14:val="none"/>
        </w:rPr>
        <w:br/>
        <w:t>w zakresie niezbędnym do ich realizacji (np. asysta i wsparcie dla systemów informatycznych) oraz podmioty uprawnione do dostępu do danych na podstawie przepisów prawa. Odrębną kategorią odbiorców są podmioty uprawnione do obsługi doręczeń (np. Poczta Polska)</w:t>
      </w:r>
      <w:r w:rsidRPr="00B34E99">
        <w:rPr>
          <w:rFonts w:ascii="Arial" w:eastAsia="Times New Roman" w:hAnsi="Arial" w:cs="Arial"/>
          <w:kern w:val="0"/>
          <w:lang w:eastAsia="pl-PL"/>
          <w14:ligatures w14:val="none"/>
        </w:rPr>
        <w:t>.</w:t>
      </w:r>
    </w:p>
    <w:p w14:paraId="39DEC236" w14:textId="7F549E74" w:rsidR="00F50C83" w:rsidRPr="00C17BA5"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sidRPr="00B34E99">
        <w:rPr>
          <w:rFonts w:ascii="Arial" w:eastAsia="Times New Roman" w:hAnsi="Arial" w:cs="Arial"/>
          <w:kern w:val="0"/>
          <w:lang w:eastAsia="pl-PL"/>
          <w14:ligatures w14:val="none"/>
        </w:rPr>
        <w:t xml:space="preserve">Dane osobowe, które nie mają znaczenia dla rozpatrywania zgłoszenia, nie są zbierane, </w:t>
      </w:r>
      <w:r w:rsidR="004A3EF0">
        <w:rPr>
          <w:rFonts w:ascii="Arial" w:eastAsia="Times New Roman" w:hAnsi="Arial" w:cs="Arial"/>
          <w:kern w:val="0"/>
          <w:lang w:eastAsia="pl-PL"/>
          <w14:ligatures w14:val="none"/>
        </w:rPr>
        <w:br/>
      </w:r>
      <w:r w:rsidRPr="00B34E99">
        <w:rPr>
          <w:rFonts w:ascii="Arial" w:eastAsia="Times New Roman" w:hAnsi="Arial" w:cs="Arial"/>
          <w:kern w:val="0"/>
          <w:lang w:eastAsia="pl-PL"/>
          <w14:ligatures w14:val="none"/>
        </w:rPr>
        <w:t>a w razie przypadkowego zebrania są nie zwłocznie usuwane. Usunięcie tych danych osobowych następuje w terminie 14 dni od chwili ustalenia, że nie mają one znaczenia dla sprawy.</w:t>
      </w:r>
    </w:p>
    <w:p w14:paraId="31CD7713" w14:textId="262B5E1B" w:rsidR="00F50C83" w:rsidRPr="00B34E99"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sidRPr="00B34E99">
        <w:rPr>
          <w:rFonts w:ascii="Arial" w:hAnsi="Arial" w:cs="Arial"/>
        </w:rPr>
        <w:t xml:space="preserve">Dane osobowe oraz pozostałe informacje w rejestrze zgłoszeń </w:t>
      </w:r>
      <w:r>
        <w:rPr>
          <w:rFonts w:ascii="Arial" w:hAnsi="Arial" w:cs="Arial"/>
        </w:rPr>
        <w:t>z</w:t>
      </w:r>
      <w:r w:rsidRPr="00B34E99">
        <w:rPr>
          <w:rFonts w:ascii="Arial" w:hAnsi="Arial" w:cs="Arial"/>
        </w:rPr>
        <w:t>ewnętrznych oraz dokumenty związane z tym zgłoszeniem są przechowywane przez okres 3 lat po zakończeniu roku kalendarzowego, w którym zakończono działania następcze lub po zakończenia postępowań zainicjowanych tymi działaniami. Po upływie okresu przechowywania dane osobowe są usuwane a dokumenty niszczone</w:t>
      </w:r>
      <w:r>
        <w:rPr>
          <w:rFonts w:ascii="Arial" w:hAnsi="Arial" w:cs="Arial"/>
        </w:rPr>
        <w:t>.</w:t>
      </w:r>
    </w:p>
    <w:p w14:paraId="325DD385" w14:textId="77777777" w:rsidR="00F50C83" w:rsidRPr="00B34E99"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Każdy ma</w:t>
      </w:r>
      <w:r w:rsidRPr="00B34E99">
        <w:rPr>
          <w:rFonts w:ascii="Arial" w:eastAsia="Times New Roman" w:hAnsi="Arial" w:cs="Arial"/>
          <w:kern w:val="0"/>
          <w:lang w:eastAsia="pl-PL"/>
          <w14:ligatures w14:val="none"/>
        </w:rPr>
        <w:t xml:space="preserve">, w przypadkach określonych przepisami, prawo dostępu do treści swoich danych oraz prawo do ich sprostowania, usunięcia, ograniczenia przetwarzania, wniesienia sprzeciwu wobec przetwarzania, prawo do odwołania zgody na przetwarzanie danych podanych dobrowolnie w każdym czasie. Wycofanie zgody nie wpływa na zgodność </w:t>
      </w:r>
      <w:r>
        <w:rPr>
          <w:rFonts w:ascii="Arial" w:eastAsia="Times New Roman" w:hAnsi="Arial" w:cs="Arial"/>
          <w:kern w:val="0"/>
          <w:lang w:eastAsia="pl-PL"/>
          <w14:ligatures w14:val="none"/>
        </w:rPr>
        <w:br/>
      </w:r>
      <w:r w:rsidRPr="00B34E99">
        <w:rPr>
          <w:rFonts w:ascii="Arial" w:eastAsia="Times New Roman" w:hAnsi="Arial" w:cs="Arial"/>
          <w:kern w:val="0"/>
          <w:lang w:eastAsia="pl-PL"/>
          <w14:ligatures w14:val="none"/>
        </w:rPr>
        <w:t xml:space="preserve">z prawem przetwarzania, którego dokonano na podstawie zgody przed jej wycofaniem. </w:t>
      </w:r>
      <w:r>
        <w:rPr>
          <w:rFonts w:ascii="Arial" w:eastAsia="Times New Roman" w:hAnsi="Arial" w:cs="Arial"/>
          <w:kern w:val="0"/>
          <w:lang w:eastAsia="pl-PL"/>
          <w14:ligatures w14:val="none"/>
        </w:rPr>
        <w:t>Każdy ma</w:t>
      </w:r>
      <w:r w:rsidRPr="00B34E99">
        <w:rPr>
          <w:rFonts w:ascii="Arial" w:eastAsia="Times New Roman" w:hAnsi="Arial" w:cs="Arial"/>
          <w:kern w:val="0"/>
          <w:lang w:eastAsia="pl-PL"/>
          <w14:ligatures w14:val="none"/>
        </w:rPr>
        <w:t xml:space="preserve"> również prawo do wniesienia skargi do organu nadzorczego </w:t>
      </w:r>
      <w:r>
        <w:rPr>
          <w:rFonts w:ascii="Arial" w:eastAsia="Times New Roman" w:hAnsi="Arial" w:cs="Arial"/>
          <w:kern w:val="0"/>
          <w:lang w:eastAsia="pl-PL"/>
          <w14:ligatures w14:val="none"/>
        </w:rPr>
        <w:t>-</w:t>
      </w:r>
      <w:r w:rsidRPr="00B34E99">
        <w:rPr>
          <w:rFonts w:ascii="Arial" w:eastAsia="Times New Roman" w:hAnsi="Arial" w:cs="Arial"/>
          <w:kern w:val="0"/>
          <w:lang w:eastAsia="pl-PL"/>
          <w14:ligatures w14:val="none"/>
        </w:rPr>
        <w:t xml:space="preserve"> Prezes Urzędu Ochrony Danych Osobowych, gdy przetwarzanie danych osobowych narusza przepisy RODO.</w:t>
      </w:r>
    </w:p>
    <w:p w14:paraId="548850F5" w14:textId="77777777" w:rsidR="00F50C83" w:rsidRPr="00B34E99"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sidRPr="00B34E99">
        <w:rPr>
          <w:rFonts w:ascii="Arial" w:eastAsia="Times New Roman" w:hAnsi="Arial" w:cs="Arial"/>
          <w:kern w:val="0"/>
          <w:lang w:eastAsia="pl-PL"/>
          <w14:ligatures w14:val="none"/>
        </w:rPr>
        <w:t xml:space="preserve">Podanie danych osobowych w zakresie obowiązujących przepisów prawa jest obowiązkowe a ich niepodanie będzie skutkowało brakiem możliwości </w:t>
      </w:r>
      <w:r>
        <w:rPr>
          <w:rFonts w:ascii="Arial" w:eastAsia="Times New Roman" w:hAnsi="Arial" w:cs="Arial"/>
          <w:kern w:val="0"/>
          <w:lang w:eastAsia="pl-PL"/>
          <w14:ligatures w14:val="none"/>
        </w:rPr>
        <w:t xml:space="preserve">przyjęcia </w:t>
      </w:r>
      <w:r>
        <w:rPr>
          <w:rFonts w:ascii="Arial" w:eastAsia="Times New Roman" w:hAnsi="Arial" w:cs="Arial"/>
          <w:kern w:val="0"/>
          <w:lang w:eastAsia="pl-PL"/>
          <w14:ligatures w14:val="none"/>
        </w:rPr>
        <w:br/>
        <w:t>i rozpatrzenia zgłoszenia</w:t>
      </w:r>
      <w:r w:rsidRPr="00B34E99">
        <w:rPr>
          <w:rFonts w:ascii="Arial" w:eastAsia="Times New Roman" w:hAnsi="Arial" w:cs="Arial"/>
          <w:kern w:val="0"/>
          <w:lang w:eastAsia="pl-PL"/>
          <w14:ligatures w14:val="none"/>
        </w:rPr>
        <w:t>.</w:t>
      </w:r>
      <w:r>
        <w:rPr>
          <w:rFonts w:ascii="Arial" w:eastAsia="Times New Roman" w:hAnsi="Arial" w:cs="Arial"/>
          <w:kern w:val="0"/>
          <w:lang w:eastAsia="pl-PL"/>
          <w14:ligatures w14:val="none"/>
        </w:rPr>
        <w:t xml:space="preserve"> Zgłoszenia anonimowe pozostawia się bez rozpatrzenia.</w:t>
      </w:r>
      <w:r w:rsidRPr="00B34E99">
        <w:rPr>
          <w:rFonts w:ascii="Arial" w:eastAsia="Times New Roman" w:hAnsi="Arial" w:cs="Arial"/>
          <w:kern w:val="0"/>
          <w:lang w:eastAsia="pl-PL"/>
          <w14:ligatures w14:val="none"/>
        </w:rPr>
        <w:t xml:space="preserve"> </w:t>
      </w:r>
    </w:p>
    <w:p w14:paraId="0C96B753" w14:textId="77777777" w:rsidR="00F50C83" w:rsidRPr="00B34E99" w:rsidRDefault="00F50C83" w:rsidP="000E4487">
      <w:pPr>
        <w:pStyle w:val="Akapitzlist"/>
        <w:numPr>
          <w:ilvl w:val="0"/>
          <w:numId w:val="18"/>
        </w:numPr>
        <w:spacing w:after="0" w:line="360" w:lineRule="auto"/>
        <w:ind w:left="284" w:hanging="284"/>
        <w:contextualSpacing w:val="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Dane osobowe</w:t>
      </w:r>
      <w:r w:rsidRPr="00B34E99">
        <w:rPr>
          <w:rFonts w:ascii="Arial" w:eastAsia="Times New Roman" w:hAnsi="Arial" w:cs="Arial"/>
          <w:kern w:val="0"/>
          <w:lang w:eastAsia="pl-PL"/>
          <w14:ligatures w14:val="none"/>
        </w:rPr>
        <w:t xml:space="preserve"> nie będą podlegały zautomatyzowanemu podejmowaniu decyzji, w tym profilowaniu.</w:t>
      </w:r>
    </w:p>
    <w:p w14:paraId="32825476" w14:textId="77777777" w:rsidR="000E4487" w:rsidRDefault="000E4487" w:rsidP="000E4487">
      <w:pPr>
        <w:spacing w:after="0" w:line="360" w:lineRule="auto"/>
        <w:jc w:val="center"/>
        <w:rPr>
          <w:rFonts w:ascii="Arial" w:hAnsi="Arial" w:cs="Arial"/>
          <w:b/>
          <w:bCs/>
          <w:color w:val="4472C4" w:themeColor="accent1"/>
        </w:rPr>
      </w:pPr>
    </w:p>
    <w:p w14:paraId="4A447B0B" w14:textId="77777777" w:rsidR="004A3EF0" w:rsidRDefault="004A3EF0" w:rsidP="000E4487">
      <w:pPr>
        <w:spacing w:after="0" w:line="360" w:lineRule="auto"/>
        <w:jc w:val="center"/>
        <w:rPr>
          <w:rFonts w:ascii="Arial" w:hAnsi="Arial" w:cs="Arial"/>
          <w:b/>
          <w:bCs/>
          <w:color w:val="4472C4" w:themeColor="accent1"/>
        </w:rPr>
      </w:pPr>
    </w:p>
    <w:p w14:paraId="3D2033E9" w14:textId="77777777" w:rsidR="004A3EF0" w:rsidRDefault="004A3EF0" w:rsidP="000E4487">
      <w:pPr>
        <w:spacing w:after="0" w:line="360" w:lineRule="auto"/>
        <w:jc w:val="center"/>
        <w:rPr>
          <w:rFonts w:ascii="Arial" w:hAnsi="Arial" w:cs="Arial"/>
          <w:b/>
          <w:bCs/>
          <w:color w:val="4472C4" w:themeColor="accent1"/>
        </w:rPr>
      </w:pPr>
    </w:p>
    <w:p w14:paraId="628F3095" w14:textId="77777777" w:rsidR="004A3EF0" w:rsidRDefault="004A3EF0" w:rsidP="000E4487">
      <w:pPr>
        <w:spacing w:after="0" w:line="360" w:lineRule="auto"/>
        <w:jc w:val="center"/>
        <w:rPr>
          <w:rFonts w:ascii="Arial" w:hAnsi="Arial" w:cs="Arial"/>
          <w:b/>
          <w:bCs/>
          <w:color w:val="4472C4" w:themeColor="accent1"/>
        </w:rPr>
      </w:pPr>
    </w:p>
    <w:p w14:paraId="229D2C96" w14:textId="017CF9A8" w:rsidR="00310523" w:rsidRPr="00310523" w:rsidRDefault="00BB4F44" w:rsidP="000E4487">
      <w:pPr>
        <w:spacing w:after="0" w:line="360" w:lineRule="auto"/>
        <w:jc w:val="center"/>
        <w:rPr>
          <w:rFonts w:ascii="Arial" w:hAnsi="Arial" w:cs="Arial"/>
          <w:b/>
          <w:bCs/>
          <w:color w:val="4472C4" w:themeColor="accent1"/>
        </w:rPr>
      </w:pPr>
      <w:r w:rsidRPr="00310523">
        <w:rPr>
          <w:rFonts w:ascii="Arial" w:hAnsi="Arial" w:cs="Arial"/>
          <w:b/>
          <w:bCs/>
          <w:color w:val="4472C4" w:themeColor="accent1"/>
        </w:rPr>
        <w:lastRenderedPageBreak/>
        <w:t>Postanowienia końcowe</w:t>
      </w:r>
    </w:p>
    <w:p w14:paraId="321E0BF3" w14:textId="77777777" w:rsidR="00310523" w:rsidRDefault="00310523" w:rsidP="000E4487">
      <w:pPr>
        <w:spacing w:after="0" w:line="360" w:lineRule="auto"/>
        <w:jc w:val="center"/>
        <w:rPr>
          <w:rFonts w:ascii="Arial" w:hAnsi="Arial" w:cs="Arial"/>
          <w:b/>
          <w:bCs/>
          <w:color w:val="4472C4" w:themeColor="accent1"/>
        </w:rPr>
      </w:pPr>
      <w:r w:rsidRPr="00B34E99">
        <w:rPr>
          <w:rFonts w:ascii="Arial" w:hAnsi="Arial" w:cs="Arial"/>
          <w:b/>
          <w:bCs/>
          <w:color w:val="4472C4" w:themeColor="accent1"/>
        </w:rPr>
        <w:t>§ 1</w:t>
      </w:r>
      <w:r>
        <w:rPr>
          <w:rFonts w:ascii="Arial" w:hAnsi="Arial" w:cs="Arial"/>
          <w:b/>
          <w:bCs/>
          <w:color w:val="4472C4" w:themeColor="accent1"/>
        </w:rPr>
        <w:t>1</w:t>
      </w:r>
      <w:r w:rsidRPr="00B34E99">
        <w:rPr>
          <w:rFonts w:ascii="Arial" w:hAnsi="Arial" w:cs="Arial"/>
          <w:b/>
          <w:bCs/>
          <w:color w:val="4472C4" w:themeColor="accent1"/>
        </w:rPr>
        <w:t xml:space="preserve"> </w:t>
      </w:r>
    </w:p>
    <w:p w14:paraId="4CB2FE0E" w14:textId="77777777" w:rsidR="00310523" w:rsidRDefault="00310523" w:rsidP="000E4487">
      <w:pPr>
        <w:pStyle w:val="Akapitzlist"/>
        <w:numPr>
          <w:ilvl w:val="0"/>
          <w:numId w:val="20"/>
        </w:numPr>
        <w:spacing w:after="0" w:line="360" w:lineRule="auto"/>
        <w:ind w:left="284" w:hanging="284"/>
        <w:contextualSpacing w:val="0"/>
        <w:jc w:val="both"/>
        <w:rPr>
          <w:rFonts w:ascii="Arial" w:hAnsi="Arial" w:cs="Arial"/>
        </w:rPr>
      </w:pPr>
      <w:r>
        <w:rPr>
          <w:rFonts w:ascii="Arial" w:hAnsi="Arial" w:cs="Arial"/>
        </w:rPr>
        <w:t>W zakresie nieuregulowanym w niniejszej procedurze stosuje się przepisy Ustawy z dnia 14 czerwca 2024 r. o ochronie sygnalistów.</w:t>
      </w:r>
    </w:p>
    <w:p w14:paraId="09C92DEA" w14:textId="55941432" w:rsidR="00310523" w:rsidRPr="00CB2822" w:rsidRDefault="00310523" w:rsidP="000E4487">
      <w:pPr>
        <w:pStyle w:val="Akapitzlist"/>
        <w:numPr>
          <w:ilvl w:val="0"/>
          <w:numId w:val="20"/>
        </w:numPr>
        <w:spacing w:after="0" w:line="360" w:lineRule="auto"/>
        <w:ind w:left="284" w:hanging="284"/>
        <w:contextualSpacing w:val="0"/>
        <w:jc w:val="both"/>
        <w:rPr>
          <w:rFonts w:ascii="Arial" w:hAnsi="Arial" w:cs="Arial"/>
        </w:rPr>
      </w:pPr>
      <w:r w:rsidRPr="00270638">
        <w:rPr>
          <w:rFonts w:ascii="Arial" w:hAnsi="Arial" w:cs="Arial"/>
        </w:rPr>
        <w:t xml:space="preserve">Procedura wchodzi w życie </w:t>
      </w:r>
      <w:r w:rsidRPr="00CB2822">
        <w:rPr>
          <w:rFonts w:ascii="Arial" w:hAnsi="Arial" w:cs="Arial"/>
          <w:bCs/>
          <w:color w:val="000000"/>
        </w:rPr>
        <w:t>w dniu 25 grudnia 2024 r.</w:t>
      </w:r>
    </w:p>
    <w:p w14:paraId="41549E82" w14:textId="0E5852C8" w:rsidR="004A3EF0" w:rsidRDefault="004A3EF0">
      <w:pPr>
        <w:rPr>
          <w:rFonts w:ascii="Arial" w:hAnsi="Arial" w:cs="Arial"/>
        </w:rPr>
      </w:pPr>
    </w:p>
    <w:sectPr w:rsidR="004A3EF0" w:rsidSect="000E39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D0A33"/>
    <w:multiLevelType w:val="hybridMultilevel"/>
    <w:tmpl w:val="CA887748"/>
    <w:lvl w:ilvl="0" w:tplc="0DE69F0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CD45D1C"/>
    <w:multiLevelType w:val="hybridMultilevel"/>
    <w:tmpl w:val="57F4A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276FBC"/>
    <w:multiLevelType w:val="hybridMultilevel"/>
    <w:tmpl w:val="065EA4C8"/>
    <w:lvl w:ilvl="0" w:tplc="46DCF0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C7A2530"/>
    <w:multiLevelType w:val="hybridMultilevel"/>
    <w:tmpl w:val="592084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70161B"/>
    <w:multiLevelType w:val="hybridMultilevel"/>
    <w:tmpl w:val="6EBEDC38"/>
    <w:lvl w:ilvl="0" w:tplc="00B8FA4A">
      <w:start w:val="1"/>
      <w:numFmt w:val="decimal"/>
      <w:lvlText w:val="%1)"/>
      <w:lvlJc w:val="left"/>
      <w:pPr>
        <w:ind w:left="644" w:hanging="360"/>
      </w:pPr>
      <w:rPr>
        <w:rFonts w:ascii="Arial" w:eastAsiaTheme="minorHAnsi" w:hAnsi="Arial" w:cs="Arial"/>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DB5368D"/>
    <w:multiLevelType w:val="hybridMultilevel"/>
    <w:tmpl w:val="0FD24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95114DC"/>
    <w:multiLevelType w:val="hybridMultilevel"/>
    <w:tmpl w:val="8620F4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3B22C1"/>
    <w:multiLevelType w:val="hybridMultilevel"/>
    <w:tmpl w:val="7F44F3FC"/>
    <w:lvl w:ilvl="0" w:tplc="C1B0F2E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5B79C2"/>
    <w:multiLevelType w:val="hybridMultilevel"/>
    <w:tmpl w:val="25FA3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0F34B5"/>
    <w:multiLevelType w:val="hybridMultilevel"/>
    <w:tmpl w:val="79CE75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0E5F68"/>
    <w:multiLevelType w:val="hybridMultilevel"/>
    <w:tmpl w:val="B12A16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BC2B3C"/>
    <w:multiLevelType w:val="hybridMultilevel"/>
    <w:tmpl w:val="979CADC2"/>
    <w:lvl w:ilvl="0" w:tplc="0415000F">
      <w:start w:val="1"/>
      <w:numFmt w:val="decimal"/>
      <w:lvlText w:val="%1."/>
      <w:lvlJc w:val="left"/>
      <w:pPr>
        <w:ind w:left="720" w:hanging="360"/>
      </w:pPr>
    </w:lvl>
    <w:lvl w:ilvl="1" w:tplc="C25AAD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EF8491B"/>
    <w:multiLevelType w:val="hybridMultilevel"/>
    <w:tmpl w:val="11D0C1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5CC468B"/>
    <w:multiLevelType w:val="hybridMultilevel"/>
    <w:tmpl w:val="1A769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C86BC4"/>
    <w:multiLevelType w:val="hybridMultilevel"/>
    <w:tmpl w:val="4C862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A71BB2"/>
    <w:multiLevelType w:val="hybridMultilevel"/>
    <w:tmpl w:val="B87CF7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1370E9"/>
    <w:multiLevelType w:val="hybridMultilevel"/>
    <w:tmpl w:val="EF5EA5E2"/>
    <w:lvl w:ilvl="0" w:tplc="AD0C24D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6B197F23"/>
    <w:multiLevelType w:val="hybridMultilevel"/>
    <w:tmpl w:val="F3886124"/>
    <w:lvl w:ilvl="0" w:tplc="48D815A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70343C75"/>
    <w:multiLevelType w:val="hybridMultilevel"/>
    <w:tmpl w:val="246CBC4A"/>
    <w:lvl w:ilvl="0" w:tplc="FCB2F25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573847"/>
    <w:multiLevelType w:val="hybridMultilevel"/>
    <w:tmpl w:val="F432E0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75C4F91"/>
    <w:multiLevelType w:val="hybridMultilevel"/>
    <w:tmpl w:val="486CDD98"/>
    <w:lvl w:ilvl="0" w:tplc="0415000F">
      <w:start w:val="1"/>
      <w:numFmt w:val="decimal"/>
      <w:lvlText w:val="%1."/>
      <w:lvlJc w:val="left"/>
      <w:pPr>
        <w:ind w:left="720" w:hanging="360"/>
      </w:pPr>
    </w:lvl>
    <w:lvl w:ilvl="1" w:tplc="E0DCE3FA">
      <w:start w:val="1"/>
      <w:numFmt w:val="decimal"/>
      <w:lvlText w:val="%2."/>
      <w:lvlJc w:val="left"/>
      <w:pPr>
        <w:ind w:left="1440" w:hanging="360"/>
      </w:pPr>
      <w:rPr>
        <w:b w:val="0"/>
        <w:bCs w:val="0"/>
        <w:strike w:val="0"/>
        <w:sz w:val="24"/>
        <w:szCs w:val="24"/>
      </w:rPr>
    </w:lvl>
    <w:lvl w:ilvl="2" w:tplc="F1028FEA">
      <w:start w:val="1"/>
      <w:numFmt w:val="decimal"/>
      <w:lvlText w:val="%3)"/>
      <w:lvlJc w:val="left"/>
      <w:pPr>
        <w:ind w:left="2340" w:hanging="360"/>
      </w:pPr>
      <w:rPr>
        <w:rFonts w:hint="default"/>
      </w:rPr>
    </w:lvl>
    <w:lvl w:ilvl="3" w:tplc="ADB6A2DC">
      <w:start w:val="1"/>
      <w:numFmt w:val="decimal"/>
      <w:lvlText w:val="%4)"/>
      <w:lvlJc w:val="left"/>
      <w:pPr>
        <w:ind w:left="2880" w:hanging="360"/>
      </w:pPr>
      <w:rPr>
        <w:rFonts w:ascii="Arial" w:eastAsiaTheme="minorHAnsi" w:hAnsi="Arial" w:cs="Arial"/>
        <w:b w:val="0"/>
        <w:bCs w:val="0"/>
      </w:rPr>
    </w:lvl>
    <w:lvl w:ilvl="4" w:tplc="85929E42">
      <w:start w:val="1"/>
      <w:numFmt w:val="upp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BE7146"/>
    <w:multiLevelType w:val="hybridMultilevel"/>
    <w:tmpl w:val="5ED21F48"/>
    <w:lvl w:ilvl="0" w:tplc="0415000F">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FD60A65"/>
    <w:multiLevelType w:val="hybridMultilevel"/>
    <w:tmpl w:val="201AF1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9398420">
    <w:abstractNumId w:val="5"/>
  </w:num>
  <w:num w:numId="2" w16cid:durableId="1183520359">
    <w:abstractNumId w:val="1"/>
  </w:num>
  <w:num w:numId="3" w16cid:durableId="238758421">
    <w:abstractNumId w:val="2"/>
  </w:num>
  <w:num w:numId="4" w16cid:durableId="1483697918">
    <w:abstractNumId w:val="10"/>
  </w:num>
  <w:num w:numId="5" w16cid:durableId="778523685">
    <w:abstractNumId w:val="18"/>
  </w:num>
  <w:num w:numId="6" w16cid:durableId="224872746">
    <w:abstractNumId w:val="13"/>
  </w:num>
  <w:num w:numId="7" w16cid:durableId="77944530">
    <w:abstractNumId w:val="20"/>
  </w:num>
  <w:num w:numId="8" w16cid:durableId="1177227314">
    <w:abstractNumId w:val="4"/>
  </w:num>
  <w:num w:numId="9" w16cid:durableId="1412507380">
    <w:abstractNumId w:val="0"/>
  </w:num>
  <w:num w:numId="10" w16cid:durableId="705566189">
    <w:abstractNumId w:val="16"/>
  </w:num>
  <w:num w:numId="11" w16cid:durableId="1142849105">
    <w:abstractNumId w:val="6"/>
  </w:num>
  <w:num w:numId="12" w16cid:durableId="641544385">
    <w:abstractNumId w:val="8"/>
  </w:num>
  <w:num w:numId="13" w16cid:durableId="410390082">
    <w:abstractNumId w:val="14"/>
  </w:num>
  <w:num w:numId="14" w16cid:durableId="1330674493">
    <w:abstractNumId w:val="17"/>
  </w:num>
  <w:num w:numId="15" w16cid:durableId="299770032">
    <w:abstractNumId w:val="7"/>
  </w:num>
  <w:num w:numId="16" w16cid:durableId="1140922657">
    <w:abstractNumId w:val="11"/>
  </w:num>
  <w:num w:numId="17" w16cid:durableId="680738599">
    <w:abstractNumId w:val="12"/>
  </w:num>
  <w:num w:numId="18" w16cid:durableId="1611858654">
    <w:abstractNumId w:val="9"/>
  </w:num>
  <w:num w:numId="19" w16cid:durableId="116147351">
    <w:abstractNumId w:val="22"/>
  </w:num>
  <w:num w:numId="20" w16cid:durableId="962077125">
    <w:abstractNumId w:val="3"/>
  </w:num>
  <w:num w:numId="21" w16cid:durableId="855730197">
    <w:abstractNumId w:val="21"/>
  </w:num>
  <w:num w:numId="22" w16cid:durableId="798959610">
    <w:abstractNumId w:val="15"/>
  </w:num>
  <w:num w:numId="23" w16cid:durableId="17966044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23A"/>
    <w:rsid w:val="000467BE"/>
    <w:rsid w:val="00070086"/>
    <w:rsid w:val="000E399C"/>
    <w:rsid w:val="000E4487"/>
    <w:rsid w:val="00151DC1"/>
    <w:rsid w:val="0016280E"/>
    <w:rsid w:val="00231631"/>
    <w:rsid w:val="00240907"/>
    <w:rsid w:val="002D08B3"/>
    <w:rsid w:val="00310523"/>
    <w:rsid w:val="004253F2"/>
    <w:rsid w:val="004A3EF0"/>
    <w:rsid w:val="00571950"/>
    <w:rsid w:val="00683D42"/>
    <w:rsid w:val="006C64D4"/>
    <w:rsid w:val="006D3B20"/>
    <w:rsid w:val="006E4529"/>
    <w:rsid w:val="006E7340"/>
    <w:rsid w:val="0070189E"/>
    <w:rsid w:val="007B5FDD"/>
    <w:rsid w:val="009576B7"/>
    <w:rsid w:val="009A223A"/>
    <w:rsid w:val="009A285F"/>
    <w:rsid w:val="009B3EE3"/>
    <w:rsid w:val="00AD24EC"/>
    <w:rsid w:val="00AD5636"/>
    <w:rsid w:val="00BB309E"/>
    <w:rsid w:val="00BB4F44"/>
    <w:rsid w:val="00C05481"/>
    <w:rsid w:val="00D93146"/>
    <w:rsid w:val="00D952B1"/>
    <w:rsid w:val="00DC6D30"/>
    <w:rsid w:val="00DD614C"/>
    <w:rsid w:val="00E830A1"/>
    <w:rsid w:val="00EF0672"/>
    <w:rsid w:val="00F50C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A8FCD"/>
  <w15:chartTrackingRefBased/>
  <w15:docId w15:val="{C1595A54-7EE6-4D2B-9BAD-4FB3F6D7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23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A223A"/>
    <w:pPr>
      <w:ind w:left="720"/>
      <w:contextualSpacing/>
    </w:pPr>
  </w:style>
  <w:style w:type="character" w:styleId="Hipercze">
    <w:name w:val="Hyperlink"/>
    <w:basedOn w:val="Domylnaczcionkaakapitu"/>
    <w:uiPriority w:val="99"/>
    <w:unhideWhenUsed/>
    <w:rsid w:val="006E7340"/>
    <w:rPr>
      <w:color w:val="0563C1" w:themeColor="hyperlink"/>
      <w:u w:val="single"/>
    </w:rPr>
  </w:style>
  <w:style w:type="paragraph" w:customStyle="1" w:styleId="ustustnpkodeksu">
    <w:name w:val="ustustnpkodeksu"/>
    <w:basedOn w:val="Normalny"/>
    <w:rsid w:val="00C0548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BB4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9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pcpr@starostwo.bielsko.pl" TargetMode="External"/><Relationship Id="rId5" Type="http://schemas.openxmlformats.org/officeDocument/2006/relationships/hyperlink" Target="mailto:pcpr@starostwo.biels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6</Pages>
  <Words>1649</Words>
  <Characters>9895</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Wojcieszek</dc:creator>
  <cp:keywords/>
  <dc:description/>
  <cp:lastModifiedBy>Agnieszka Wojcieszek</cp:lastModifiedBy>
  <cp:revision>7</cp:revision>
  <cp:lastPrinted>2024-12-11T07:47:00Z</cp:lastPrinted>
  <dcterms:created xsi:type="dcterms:W3CDTF">2024-10-16T09:32:00Z</dcterms:created>
  <dcterms:modified xsi:type="dcterms:W3CDTF">2024-12-23T13:22:00Z</dcterms:modified>
</cp:coreProperties>
</file>